
<file path=[Content_Types].xml><?xml version="1.0" encoding="utf-8"?>
<Types xmlns="http://schemas.openxmlformats.org/package/2006/content-types">
  <Default Extension="jpeg" ContentType="image/jpeg"/>
  <Default Extension="xml" ContentType="application/xml"/>
  <Default Extension="rels" ContentType="application/vnd.openxmlformats-package.relationships+xml"/>
  <Override PartName="/word/settings.xml" ContentType="application/vnd.openxmlformats-officedocument.wordprocessingml.settings+xml"/>
  <Override PartName="/word/media/image5.jpeg" ContentType="image/jpeg"/>
  <Override PartName="/word/theme/theme1.xml" ContentType="application/vnd.openxmlformats-officedocument.theme+xml"/>
  <Override PartName="/word/media/image2.jpeg" ContentType="image/jpeg"/>
  <Override PartName="/docProps/custom.xml" ContentType="application/vnd.openxmlformats-officedocument.custom-properties+xml"/>
  <Override PartName="/word/media/image6.jpeg" ContentType="image/jpeg"/>
  <Override PartName="/word/media/image3.jpeg" ContentType="image/jpeg"/>
  <Override PartName="/word/media/image1.jpeg" ContentType="image/jpeg"/>
  <Override PartName="/word/fontTable.xml" ContentType="application/vnd.openxmlformats-officedocument.wordprocessingml.fontTable+xml"/>
  <Override PartName="/word/media/image4.jpeg" ContentType="image/jpeg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media/image7.jpeg" ContentType="image/jpeg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2" Type="http://schemas.openxmlformats.org/officeDocument/2006/relationships/extended-properties" Target="docProps/app.xml" /><Relationship Id="rId1" Type="http://schemas.openxmlformats.org/package/2006/relationships/metadata/core-properties" Target="docProps/core.xml" /><Relationship Id="rId3" Type="http://schemas.openxmlformats.org/officeDocument/2006/relationships/custom-properties" Target="docProps/custom.xml" /><Relationship Id="rId0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w="http://schemas.openxmlformats.org/wordprocessingml/2006/main" xmlns:wpsCustomData="http://www.wps.cn/officeDocument/2013/wpsCustomData" xmlns:m="http://schemas.openxmlformats.org/officeDocument/2006/math" xmlns:wpi="http://schemas.microsoft.com/office/word/2010/wordprocessingInk" xmlns:w10="urn:schemas-microsoft-com:office:word" xmlns:wp14="http://schemas.microsoft.com/office/word/2010/wordprocessingDrawing" xmlns:v="urn:schemas-microsoft-com:vml" xmlns:w14="http://schemas.microsoft.com/office/word/2010/wordml" xmlns:wne="http://schemas.microsoft.com/office/word/2006/wordml" xmlns:w15="http://schemas.microsoft.com/office/word/2012/wordml" xmlns:wp="http://schemas.openxmlformats.org/drawingml/2006/wordprocessingDrawing" xmlns:wpg="http://schemas.microsoft.com/office/word/2010/wordprocessingGroup" xmlns:r="http://schemas.openxmlformats.org/officeDocument/2006/relationships" xmlns:wps="http://schemas.microsoft.com/office/word/2010/wordprocessingShape" mc:Ignorable="w14 w15 wp14">
  <w:body>
    <w:p w14:paraId="514D321E">
      <w:pPr>
        <w:jc w:val="center"/>
        <w:rPr>
          <w:b w:val="1"/>
          <w:i w:val="1"/>
          <w:sz w:val="44"/>
          <w:bCs/>
          <w:iCs/>
          <w:szCs w:val="44"/>
          <w14:shadow w14:blurRad="50800" w14:dist="38100" w14:dir="10800000" w14:sx="100000" w14:sy="100000" w14:kx="0" w14:ky="0" w14:algn="r">
            <w14:srgbClr w14:val="000000">
              <w14:alpha w14:val="60000"/>
            </w14:srgbClr>
          </w14:shadow>
          <w:rFonts w:hint="eastAsia"/>
        </w:rPr>
      </w:pPr>
      <w:r>
        <w:rPr>
          <w:b w:val="1"/>
          <w:i w:val="1"/>
          <w:sz w:val="44"/>
          <w:bCs/>
          <w:iCs/>
          <w:szCs w:val="44"/>
          <w14:shadow w14:blurRad="50800" w14:dist="38100" w14:dir="10800000" w14:sx="100000" w14:sy="100000" w14:kx="0" w14:ky="0" w14:algn="r">
            <w14:srgbClr w14:val="000000">
              <w14:alpha w14:val="60000"/>
            </w14:srgbClr>
          </w14:shadow>
          <w:rFonts w:hint="eastAsia"/>
        </w:rPr>
        <w:t>青春躬耕实践沃土 理想绽放时代光芒</w:t>
      </w:r>
    </w:p>
    <w:p w14:paraId="39039488">
      <w:pPr>
        <w:jc w:val="center"/>
        <w:rPr>
          <w:sz w:val="24"/>
          <w:szCs w:val="24"/>
          <w:rFonts w:hint="eastAsia"/>
        </w:rPr>
      </w:pPr>
      <w:r>
        <w:rPr>
          <w:sz w:val="24"/>
          <w:lang w:val="en-US" w:eastAsia="zh-CN"/>
          <w:szCs w:val="24"/>
          <w:rFonts w:hint="eastAsia"/>
        </w:rPr>
        <w:t xml:space="preserve">                             </w:t>
      </w:r>
      <w:r>
        <w:rPr>
          <w:sz w:val="24"/>
          <w:szCs w:val="24"/>
          <w:rFonts w:hint="eastAsia"/>
        </w:rPr>
        <w:t>——武汉城市学院外语学部2025年暑期社                       会实践活动</w:t>
      </w:r>
    </w:p>
    <w:p w14:paraId="0B98789E">
      <w:pPr>
        <w:jc w:val="center"/>
        <w:rPr>
          <w:sz w:val="24"/>
          <w:szCs w:val="24"/>
          <w:rFonts w:hint="eastAsia"/>
        </w:rPr>
      </w:pPr>
    </w:p>
    <w:p w14:paraId="40882C46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420" w:firstLineChars="200"/>
        <w:rPr>
          <w:rFonts w:hint="eastAsia"/>
        </w:rPr>
      </w:pPr>
      <w:r>
        <w:rPr>
          <w:rFonts w:hint="eastAsia"/>
        </w:rPr>
        <w:t>2025年暑期，武汉城市学院外语学部青年学子奔赴祖国各地，在政务一线、乡村热土与革命圣地展开深度实践，于服务中淬炼初心，在调研中厚植信仰。从基层治理的微观体察到红色精神的宏观传承，数百名学子以脚步丈量责任，用成长回应时代，绘就出一幅知行合一的青春画卷。</w:t>
      </w:r>
    </w:p>
    <w:p w14:paraId="4B60F64E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rPr>
          <w:rFonts w:hint="eastAsia"/>
        </w:rPr>
      </w:pPr>
    </w:p>
    <w:p w14:paraId="15FA16FB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420" w:firstLineChars="200"/>
        <w:rPr>
          <w:rFonts w:hint="eastAsia"/>
        </w:rPr>
      </w:pPr>
      <w:r>
        <w:rPr>
          <w:rFonts w:hint="eastAsia"/>
        </w:rPr>
        <w:t>实践成果的厚度，离不开基石的牢固。2023级英语专业学生夏威夷作为"青马砺行"井冈铁律研习团的调研组骨干，在实践前期便展现出扎实的筹备能力。她主动牵头制定访谈大纲，系统梳理井冈山纪律相关的历史地理脉络，为团队明确调研方向。实地走访雷打石、井冈山革命博物馆期间，她不仅承担访谈记录与拍摄工作，更以细致入微的观察捕捉细节，为课题积累了珍贵的第一手影像与文本资料。在她看来，每一次快门按下、每一段文字记录，都是在为革命历史"建档立案"。这种"甘居幕后"的坚守，让她对"三大纪律、八项注意"的精神实质有了具象化认知，更体会到团队协作中"个体如钉、集体如舰"的深刻意涵</w:t>
      </w:r>
    </w:p>
    <w:p w14:paraId="696DD852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420" w:firstLineChars="200"/>
        <w:rPr>
          <w:rFonts w:hint="eastAsia"/>
        </w:rPr>
      </w:pPr>
    </w:p>
    <w:p w14:paraId="7201C035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883" w:firstLineChars="200"/>
        <w:rPr>
          <w:rFonts w:hint="eastAsia"/>
        </w:rPr>
      </w:pPr>
      <w:r>
        <w:rPr>
          <w:b w:val="1"/>
          <w:sz w:val="44"/>
          <w:szCs w:val="44"/>
          <w:rFonts w:ascii="宋体" w:hAnsi="宋体" w:eastAsia="宋体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568325</wp:posOffset>
            </wp:positionH>
            <wp:positionV relativeFrom="paragraph">
              <wp:posOffset>33655</wp:posOffset>
            </wp:positionV>
            <wp:extent cx="4185920" cy="2698115"/>
            <wp:effectExtent l="0" t="0" r="5080" b="6985"/>
            <wp:wrapNone/>
            <wp:docPr id="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85920" cy="269811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anchor>
        </w:drawing>
      </w:r>
    </w:p>
    <w:p w14:paraId="557C300C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420" w:firstLineChars="200"/>
        <w:rPr>
          <w:rFonts w:hint="eastAsia"/>
        </w:rPr>
      </w:pPr>
    </w:p>
    <w:p w14:paraId="5062305E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420" w:firstLineChars="200"/>
        <w:rPr>
          <w:rFonts w:hint="eastAsia"/>
        </w:rPr>
      </w:pPr>
    </w:p>
    <w:p w14:paraId="479AF1F5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420" w:firstLineChars="200"/>
        <w:rPr>
          <w:rFonts w:hint="eastAsia"/>
        </w:rPr>
      </w:pPr>
    </w:p>
    <w:p w14:paraId="4111131C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420" w:firstLineChars="200"/>
        <w:rPr>
          <w:rFonts w:hint="eastAsia"/>
        </w:rPr>
      </w:pPr>
    </w:p>
    <w:p w14:paraId="0D31B46C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rPr>
          <w:rFonts w:hint="eastAsia"/>
        </w:rPr>
      </w:pPr>
    </w:p>
    <w:p w14:paraId="756B9A92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420" w:firstLineChars="200"/>
        <w:rPr>
          <w:rFonts w:hint="eastAsia"/>
        </w:rPr>
      </w:pPr>
    </w:p>
    <w:p w14:paraId="26595462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420" w:firstLineChars="200"/>
        <w:rPr>
          <w:rFonts w:hint="eastAsia"/>
        </w:rPr>
      </w:pPr>
    </w:p>
    <w:p w14:paraId="4C50972A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420" w:firstLineChars="200"/>
        <w:rPr>
          <w:rFonts w:hint="eastAsia"/>
        </w:rPr>
      </w:pPr>
    </w:p>
    <w:p w14:paraId="3548AAA3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420" w:firstLineChars="200"/>
        <w:rPr>
          <w:rFonts w:hint="eastAsia"/>
        </w:rPr>
      </w:pPr>
    </w:p>
    <w:p w14:paraId="77AF973C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420" w:firstLineChars="200"/>
        <w:rPr>
          <w:rFonts w:hint="eastAsia"/>
        </w:rPr>
      </w:pPr>
    </w:p>
    <w:p w14:paraId="2A3ABF29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420" w:firstLineChars="200"/>
        <w:rPr>
          <w:rFonts w:hint="eastAsia"/>
        </w:rPr>
      </w:pPr>
    </w:p>
    <w:p w14:paraId="5E9CF4DA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420" w:firstLineChars="200"/>
        <w:rPr>
          <w:rFonts w:hint="eastAsia"/>
        </w:rPr>
      </w:pPr>
    </w:p>
    <w:p w14:paraId="7894BC16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420" w:firstLineChars="200"/>
        <w:rPr>
          <w:rFonts w:hint="eastAsia"/>
        </w:rPr>
      </w:pPr>
    </w:p>
    <w:p w14:paraId="71558D76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420" w:firstLineChars="200"/>
        <w:rPr>
          <w:rFonts w:hint="eastAsia"/>
        </w:rPr>
      </w:pPr>
    </w:p>
    <w:p w14:paraId="02A81ECA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420" w:firstLineChars="200"/>
        <w:rPr>
          <w:rFonts w:hint="eastAsia"/>
        </w:rPr>
      </w:pPr>
      <w:r>
        <w:rPr>
          <w:rFonts w:hint="eastAsia"/>
        </w:rPr>
        <w:t>真正的实践不在于单向输入，而在于双向建构。同团队的2023级英语专业学生肖可可，以方案组与宣传组"双核心"身份，开创了"研究—传播"协同推进的实践范式。前期，她埋首于历史文献，将庞杂史料转化为清晰的调研路线图；实践中，她执笔撰写"行走的思政课"台本，让理论讲述充满现场感。作为宣传骨干，她产出的6篇实践通讯如《井冈精神映初心》《踏井冈热土铸青春铁律》等，以细腻笔触与鲜活影像在校级平台持续推送，总阅读量突破万人次；其牵头制作的短视频更将调研案例转化为青年喜闻乐见的视觉叙事。肖可可坦言："研究是实践的根系，传播是成果的翅膀，唯有二者共振，才能让红色文化飞入更多青年心海。"这种双重角色的沉浸，让她完成了从参与者到建构者的身份跃迁。</w:t>
      </w:r>
    </w:p>
    <w:p w14:paraId="460B0087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420" w:firstLineChars="200"/>
        <w:rPr>
          <w:rFonts w:hint="eastAsia"/>
        </w:rPr>
      </w:pPr>
    </w:p>
    <w:p w14:paraId="34CCBFF0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420" w:firstLineChars="200"/>
        <w:rPr>
          <w:rFonts w:hint="eastAsia"/>
        </w:rPr>
      </w:pPr>
    </w:p>
    <w:p w14:paraId="32E32D40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420" w:firstLineChars="200"/>
        <w:rPr>
          <w:rFonts w:hint="eastAsia"/>
        </w:rPr>
      </w:pPr>
    </w:p>
    <w:p w14:paraId="0E730CBB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420" w:firstLineChars="200"/>
        <w:rPr>
          <w:rFonts w:hint="eastAsia"/>
        </w:rPr>
      </w:pPr>
      <w:r>
        <w:rPr>
          <w:rFonts w:ascii="宋体" w:hAnsi="宋体" w:eastAsia="宋体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-295910</wp:posOffset>
            </wp:positionH>
            <wp:positionV relativeFrom="paragraph">
              <wp:posOffset>97155</wp:posOffset>
            </wp:positionV>
            <wp:extent cx="3046095" cy="2719705"/>
            <wp:effectExtent l="0" t="0" r="1905" b="4445"/>
            <wp:wrapNone/>
            <wp:docPr id="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6095" cy="27197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hAnsi="宋体" w:eastAsia="宋体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2804795</wp:posOffset>
            </wp:positionH>
            <wp:positionV relativeFrom="paragraph">
              <wp:posOffset>99695</wp:posOffset>
            </wp:positionV>
            <wp:extent cx="2915285" cy="2701925"/>
            <wp:effectExtent l="0" t="0" r="8890" b="3175"/>
            <wp:wrapNone/>
            <wp:docPr id="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/>
                  </pic:nvPicPr>
                  <pic:blipFill>
                    <a:blip r:embed="rId6"/>
                    <a:srcRect t="19659"/>
                    <a:stretch>
                      <a:fillRect/>
                    </a:stretch>
                  </pic:blipFill>
                  <pic:spPr>
                    <a:xfrm>
                      <a:off x="0" y="0"/>
                      <a:ext cx="2915285" cy="270192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anchor>
        </w:drawing>
      </w:r>
    </w:p>
    <w:p w14:paraId="653AAB34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420" w:firstLineChars="200"/>
        <w:rPr>
          <w:rFonts w:hint="eastAsia"/>
        </w:rPr>
      </w:pPr>
    </w:p>
    <w:p w14:paraId="74937AED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420" w:firstLineChars="200"/>
        <w:rPr>
          <w:rFonts w:hint="eastAsia"/>
        </w:rPr>
      </w:pPr>
    </w:p>
    <w:p w14:paraId="798A9B96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420" w:firstLineChars="200"/>
        <w:rPr>
          <w:rFonts w:hint="eastAsia"/>
        </w:rPr>
      </w:pPr>
    </w:p>
    <w:p w14:paraId="443DFF18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420" w:firstLineChars="200"/>
        <w:rPr>
          <w:rFonts w:hint="eastAsia"/>
        </w:rPr>
      </w:pPr>
    </w:p>
    <w:p w14:paraId="39F937C4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420" w:firstLineChars="200"/>
        <w:rPr>
          <w:rFonts w:hint="eastAsia"/>
        </w:rPr>
      </w:pPr>
    </w:p>
    <w:p w14:paraId="2B658617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420" w:firstLineChars="200"/>
        <w:rPr>
          <w:rFonts w:hint="eastAsia"/>
        </w:rPr>
      </w:pPr>
    </w:p>
    <w:p w14:paraId="43773102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420" w:firstLineChars="200"/>
        <w:rPr>
          <w:rFonts w:hint="eastAsia"/>
        </w:rPr>
      </w:pPr>
    </w:p>
    <w:p w14:paraId="052CBEAC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420" w:firstLineChars="200"/>
        <w:rPr>
          <w:rFonts w:hint="eastAsia"/>
        </w:rPr>
      </w:pPr>
    </w:p>
    <w:p w14:paraId="6F2A5CCA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420" w:firstLineChars="200"/>
        <w:rPr>
          <w:rFonts w:hint="eastAsia"/>
        </w:rPr>
      </w:pPr>
    </w:p>
    <w:p w14:paraId="6D1E7CDA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420" w:firstLineChars="200"/>
        <w:rPr>
          <w:rFonts w:hint="eastAsia"/>
        </w:rPr>
      </w:pPr>
    </w:p>
    <w:p w14:paraId="52BE2A7F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420" w:firstLineChars="200"/>
        <w:rPr>
          <w:rFonts w:hint="eastAsia"/>
        </w:rPr>
      </w:pPr>
    </w:p>
    <w:p w14:paraId="2808AD11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420" w:firstLineChars="200"/>
        <w:rPr>
          <w:rFonts w:hint="eastAsia"/>
        </w:rPr>
      </w:pPr>
    </w:p>
    <w:p w14:paraId="62D0B819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420" w:firstLineChars="200"/>
        <w:rPr>
          <w:rFonts w:hint="eastAsia"/>
        </w:rPr>
      </w:pPr>
    </w:p>
    <w:p w14:paraId="44CF8D16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rPr>
          <w:rFonts w:hint="eastAsia"/>
        </w:rPr>
      </w:pPr>
    </w:p>
    <w:p w14:paraId="3649C073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rPr>
          <w:rFonts w:hint="eastAsia"/>
        </w:rPr>
      </w:pPr>
    </w:p>
    <w:p w14:paraId="72C19162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420" w:firstLineChars="200"/>
        <w:rPr>
          <w:lang w:eastAsia="zh-CN"/>
          <w:rFonts w:hint="eastAsia" w:eastAsiaTheme="minorEastAsia"/>
        </w:rPr>
      </w:pPr>
      <w:r>
        <w:rPr>
          <w:rFonts w:hint="eastAsia"/>
        </w:rPr>
        <w:t>从倾听到表达，是思想升华的关键一跃。2023级日语专业学生任晓芸在研习团中主动请缨，承担起实践视频主讲人的重任。面对镜头，她不仅要将团队的调研见闻条理化，更需以青年视角对革命纪律精神进行现代表达。从雷打石的斑驳旧影到博物馆里的珍贵文物，她以清晰流畅的讲述串联起历史与当下，在一次次NG与重录中克服了公众表达的怯懦。在汇报组的协作中，她深度参与资料整理与内容提炼，为课题成果的逻辑成型提供了关键支撑。这场"沉浸式理想信念教育"让她深刻感悟到，井冈山精神不是尘封的概念，而是可以触摸的信仰温度，更是指引青年"扣好人生第一粒扣子"的行动坐标</w:t>
      </w:r>
      <w:r>
        <w:rPr>
          <w:lang w:eastAsia="zh-CN"/>
          <w:rFonts w:hint="eastAsia"/>
        </w:rPr>
        <w:t>。</w:t>
      </w:r>
    </w:p>
    <w:p w14:paraId="7D3D2E9C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420" w:firstLineChars="200"/>
        <w:rPr>
          <w:rFonts w:hint="eastAsia"/>
        </w:rPr>
      </w:pPr>
      <w:r>
        <w:rPr>
          <w:color w:val="000000"/>
          <w:sz w:val="21"/>
          <w:lang w:eastAsia="zh-CN"/>
          <w:kern w:val="0"/>
          <w:szCs w:val="28"/>
          <w:rFonts w:ascii="楷体_GB2312" w:hAnsi="宋体" w:eastAsia="楷体_GB2312" w:cs="宋体" w:hint="eastAsi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523240</wp:posOffset>
            </wp:positionH>
            <wp:positionV relativeFrom="paragraph">
              <wp:posOffset>189230</wp:posOffset>
            </wp:positionV>
            <wp:extent cx="4146550" cy="3736975"/>
            <wp:effectExtent l="0" t="0" r="6350" b="6350"/>
            <wp:wrapNone/>
            <wp:docPr id="4" name="图片 1" descr="IMG_20250903_2114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MG_20250903_21145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46550" cy="373697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anchor>
        </w:drawing>
      </w:r>
    </w:p>
    <w:p w14:paraId="12E4E38D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420" w:firstLineChars="200"/>
        <w:rPr>
          <w:rFonts w:hint="eastAsia"/>
        </w:rPr>
      </w:pPr>
    </w:p>
    <w:p w14:paraId="001B0745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420" w:firstLineChars="200"/>
        <w:rPr>
          <w:rFonts w:hint="eastAsia"/>
        </w:rPr>
      </w:pPr>
    </w:p>
    <w:p w14:paraId="3235F8EA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420" w:firstLineChars="200"/>
        <w:rPr>
          <w:rFonts w:hint="eastAsia"/>
        </w:rPr>
      </w:pPr>
    </w:p>
    <w:p w14:paraId="121645CB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420" w:firstLineChars="200"/>
        <w:rPr>
          <w:rFonts w:hint="eastAsia"/>
        </w:rPr>
      </w:pPr>
    </w:p>
    <w:p w14:paraId="5075B65E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420" w:firstLineChars="200"/>
        <w:rPr>
          <w:rFonts w:hint="eastAsia"/>
        </w:rPr>
      </w:pPr>
    </w:p>
    <w:p w14:paraId="6A64E67C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420" w:firstLineChars="200"/>
        <w:rPr>
          <w:rFonts w:hint="eastAsia"/>
        </w:rPr>
      </w:pPr>
    </w:p>
    <w:p w14:paraId="523A3B30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420" w:firstLineChars="200"/>
        <w:rPr>
          <w:rFonts w:hint="eastAsia"/>
        </w:rPr>
      </w:pPr>
    </w:p>
    <w:p w14:paraId="37493BD2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420" w:firstLineChars="200"/>
        <w:rPr>
          <w:rFonts w:hint="eastAsia"/>
        </w:rPr>
      </w:pPr>
    </w:p>
    <w:p w14:paraId="3A12A954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420" w:firstLineChars="200"/>
        <w:rPr>
          <w:rFonts w:hint="eastAsia"/>
        </w:rPr>
      </w:pPr>
    </w:p>
    <w:p w14:paraId="1C4274B9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420" w:firstLineChars="200"/>
        <w:rPr>
          <w:rFonts w:hint="eastAsia"/>
        </w:rPr>
      </w:pPr>
    </w:p>
    <w:p w14:paraId="73C0BBAF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420" w:firstLineChars="200"/>
        <w:rPr>
          <w:rFonts w:hint="eastAsia"/>
        </w:rPr>
      </w:pPr>
    </w:p>
    <w:p w14:paraId="1CFF6E9E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420" w:firstLineChars="200"/>
        <w:rPr>
          <w:rFonts w:hint="eastAsia"/>
        </w:rPr>
      </w:pPr>
    </w:p>
    <w:p w14:paraId="7907C06C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420" w:firstLineChars="200"/>
        <w:rPr>
          <w:rFonts w:hint="eastAsia"/>
        </w:rPr>
      </w:pPr>
    </w:p>
    <w:p w14:paraId="4C8BAF57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420" w:firstLineChars="200"/>
        <w:rPr>
          <w:rFonts w:hint="eastAsia"/>
        </w:rPr>
      </w:pPr>
    </w:p>
    <w:p w14:paraId="32E41CDD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420" w:firstLineChars="200"/>
        <w:rPr>
          <w:rFonts w:hint="eastAsia"/>
        </w:rPr>
      </w:pPr>
    </w:p>
    <w:p w14:paraId="3984080C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420" w:firstLineChars="200"/>
        <w:rPr>
          <w:rFonts w:hint="eastAsia"/>
        </w:rPr>
      </w:pPr>
    </w:p>
    <w:p w14:paraId="59EF59AA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rPr>
          <w:rFonts w:hint="eastAsia"/>
        </w:rPr>
      </w:pPr>
    </w:p>
    <w:p w14:paraId="349947C9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rPr>
          <w:rFonts w:hint="eastAsia"/>
        </w:rPr>
      </w:pPr>
    </w:p>
    <w:p w14:paraId="307FC8E2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rPr>
          <w:rFonts w:hint="eastAsia"/>
        </w:rPr>
      </w:pPr>
    </w:p>
    <w:p w14:paraId="56F6C8BD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rPr>
          <w:rFonts w:hint="eastAsia"/>
        </w:rPr>
      </w:pPr>
    </w:p>
    <w:p w14:paraId="1A39ADC1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420" w:firstLineChars="200"/>
        <w:rPr>
          <w:lang w:eastAsia="zh-CN"/>
          <w:rFonts w:hint="eastAsia"/>
        </w:rPr>
      </w:pPr>
      <w:r>
        <w:rPr>
          <w:rFonts w:hint="eastAsia"/>
        </w:rPr>
        <w:t>基层是最好的课堂，群众是最好的老师。2024级商务英语专业学生姚梓星放弃假期舒适区，在家乡红安县残疾人联合会坚守实习岗位一个月。面对陌生的助残政策与复杂的服务需求，她摒弃旁观者心态，以"空杯"姿态主动学习业务流程。从接听咨询热线时的耐心倾听，到接待来访残疾人时的真诚交流，她逐渐领悟到"人道、廉洁、服务、奉献"八字背后沉甸甸的分量。一次，为帮助一位视障老人补办证件，她反复沟通、多方协调，当老人紧握她的手连声道谢时，她突然理解了"被需要"的价值。这段经历不仅锤炼了她的跨文化沟通能力，更重塑了她的价值观——真正的专业本领，应服务于最柔软的社会需求。她的踏实表现赢得了残联领导"有担当、有温度"的高度评价</w:t>
      </w:r>
      <w:r>
        <w:rPr>
          <w:lang w:eastAsia="zh-CN"/>
          <w:rFonts w:hint="eastAsia"/>
        </w:rPr>
        <w:t>。</w:t>
      </w:r>
    </w:p>
    <w:p w14:paraId="3EE35508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420" w:firstLineChars="200"/>
        <w:rPr>
          <w:lang w:eastAsia="zh-CN"/>
          <w:rFonts w:hint="eastAsia"/>
        </w:rPr>
      </w:pPr>
      <w:r>
        <w:rPr>
          <w:color w:val="000000"/>
          <w:sz w:val="21"/>
          <w:kern w:val="0"/>
          <w:szCs w:val="28"/>
          <w:rFonts w:ascii="楷体_GB2312" w:hAnsi="宋体" w:eastAsia="楷体_GB2312" w:cs="宋体" w:hint="eastAsia"/>
        </w:rPr>
        <w:drawing>
          <wp:anchor distT="0" distB="0" distL="0" distR="0" simplePos="0" relativeHeight="251663360" behindDoc="0" locked="0" layoutInCell="1" allowOverlap="1">
            <wp:simplePos x="0" y="0"/>
            <wp:positionH relativeFrom="column">
              <wp:posOffset>95250</wp:posOffset>
            </wp:positionH>
            <wp:positionV relativeFrom="paragraph">
              <wp:posOffset>40640</wp:posOffset>
            </wp:positionV>
            <wp:extent cx="2481580" cy="2940685"/>
            <wp:effectExtent l="0" t="0" r="4445" b="2540"/>
            <wp:wrapNone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1123749" name="图片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81580" cy="294068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anchor>
        </w:drawing>
      </w:r>
      <w:r>
        <w:rPr>
          <w:color w:val="000000"/>
          <w:sz w:val="21"/>
          <w:kern w:val="0"/>
          <w:szCs w:val="28"/>
          <w:rFonts w:ascii="楷体_GB2312" w:hAnsi="宋体" w:eastAsia="楷体_GB2312" w:cs="宋体" w:hint="eastAsia"/>
        </w:rPr>
        <w:drawing>
          <wp:anchor distT="0" distB="0" distL="0" distR="0" simplePos="0" relativeHeight="251664384" behindDoc="0" locked="0" layoutInCell="1" allowOverlap="1">
            <wp:simplePos x="0" y="0"/>
            <wp:positionH relativeFrom="column">
              <wp:posOffset>2818130</wp:posOffset>
            </wp:positionH>
            <wp:positionV relativeFrom="paragraph">
              <wp:posOffset>43180</wp:posOffset>
            </wp:positionV>
            <wp:extent cx="2430145" cy="2943225"/>
            <wp:effectExtent l="0" t="0" r="8255" b="0"/>
            <wp:wrapNone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4504551" name="图片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30145" cy="294322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anchor>
        </w:drawing>
      </w:r>
    </w:p>
    <w:p w14:paraId="221D6862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420" w:firstLineChars="200"/>
        <w:rPr>
          <w:lang w:eastAsia="zh-CN"/>
          <w:rFonts w:hint="eastAsia"/>
        </w:rPr>
      </w:pPr>
    </w:p>
    <w:p w14:paraId="19DA1405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420" w:firstLineChars="200"/>
        <w:rPr>
          <w:lang w:eastAsia="zh-CN"/>
          <w:rFonts w:hint="eastAsia"/>
        </w:rPr>
      </w:pPr>
    </w:p>
    <w:p w14:paraId="317DC186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420" w:firstLineChars="200"/>
        <w:rPr>
          <w:lang w:eastAsia="zh-CN"/>
          <w:rFonts w:hint="eastAsia"/>
        </w:rPr>
      </w:pPr>
    </w:p>
    <w:p w14:paraId="19A2C25B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420" w:firstLineChars="200"/>
        <w:rPr>
          <w:lang w:eastAsia="zh-CN"/>
          <w:rFonts w:hint="eastAsia"/>
        </w:rPr>
      </w:pPr>
    </w:p>
    <w:p w14:paraId="48FE92E4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420" w:firstLineChars="200"/>
        <w:rPr>
          <w:lang w:eastAsia="zh-CN"/>
          <w:rFonts w:hint="eastAsia"/>
        </w:rPr>
      </w:pPr>
    </w:p>
    <w:p w14:paraId="14B7F9CA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420" w:firstLineChars="200"/>
        <w:rPr>
          <w:lang w:eastAsia="zh-CN"/>
          <w:rFonts w:hint="eastAsia"/>
        </w:rPr>
      </w:pPr>
    </w:p>
    <w:p w14:paraId="3A652CE7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420" w:firstLineChars="200"/>
        <w:rPr>
          <w:lang w:eastAsia="zh-CN"/>
          <w:rFonts w:hint="eastAsia"/>
        </w:rPr>
      </w:pPr>
    </w:p>
    <w:p w14:paraId="0AF0C789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420" w:firstLineChars="200"/>
        <w:rPr>
          <w:lang w:eastAsia="zh-CN"/>
          <w:rFonts w:hint="eastAsia"/>
        </w:rPr>
      </w:pPr>
    </w:p>
    <w:p w14:paraId="766BD836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420" w:firstLineChars="200"/>
        <w:rPr>
          <w:lang w:eastAsia="zh-CN"/>
          <w:rFonts w:hint="eastAsia"/>
        </w:rPr>
      </w:pPr>
    </w:p>
    <w:p w14:paraId="67198A75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420" w:firstLineChars="200"/>
        <w:rPr>
          <w:lang w:eastAsia="zh-CN"/>
          <w:rFonts w:hint="eastAsia"/>
        </w:rPr>
      </w:pPr>
    </w:p>
    <w:p w14:paraId="4337210D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420" w:firstLineChars="200"/>
        <w:rPr>
          <w:lang w:eastAsia="zh-CN"/>
          <w:rFonts w:hint="eastAsia"/>
        </w:rPr>
      </w:pPr>
    </w:p>
    <w:p w14:paraId="4439F2AC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420" w:firstLineChars="200"/>
        <w:rPr>
          <w:lang w:eastAsia="zh-CN"/>
          <w:rFonts w:hint="eastAsia"/>
        </w:rPr>
      </w:pPr>
    </w:p>
    <w:p w14:paraId="6E21336C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420" w:firstLineChars="200"/>
        <w:rPr>
          <w:lang w:eastAsia="zh-CN"/>
          <w:rFonts w:hint="eastAsia"/>
        </w:rPr>
      </w:pPr>
    </w:p>
    <w:p w14:paraId="2754D134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rPr>
          <w:lang w:eastAsia="zh-CN"/>
          <w:rFonts w:hint="eastAsia"/>
        </w:rPr>
      </w:pPr>
    </w:p>
    <w:p w14:paraId="70AF03DA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rPr>
          <w:lang w:eastAsia="zh-CN"/>
          <w:rFonts w:hint="eastAsia"/>
        </w:rPr>
      </w:pPr>
    </w:p>
    <w:p w14:paraId="3194DCCD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rPr>
          <w:rFonts w:hint="eastAsia"/>
        </w:rPr>
      </w:pPr>
    </w:p>
    <w:p w14:paraId="3C2A0FAD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420" w:firstLineChars="200"/>
        <w:rPr>
          <w:rFonts w:hint="eastAsia"/>
        </w:rPr>
      </w:pPr>
      <w:r>
        <w:rPr>
          <w:rFonts w:hint="eastAsia"/>
        </w:rPr>
        <w:t>教育的意义，在于点燃而非灌输。2024级英语专业学生陈潇在返乡实践中，于家乡村委会体验了两天高密度村务工作，从数据整理中窥见基层治理的精细逻辑。更触动她的是，当承担英语辅导任务时，本以为自己能游刃有余，却在讲解虚拟语气等语法难点时"卡了壳"。学生迷茫的眼神如镜子般照出她知识体系"碎片化"的短板——能做题，却说不清原理。这次"挫败"成为她专业认知的转折点：她意识到英语教育不只是语言技巧传授，更是系统性思维建构。联想到乡村文旅发展对外宣人才的渴求，她豁然开朗："英专生可以成为家乡的'翻译官'，把乡土故事讲给世界听。"短短两天，她从"教学失误"中锚定了未来方向——要做一名能"讲透知识、更讲活文化"的好老师。</w:t>
      </w:r>
    </w:p>
    <w:p w14:paraId="4BF62EB4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420" w:firstLineChars="200"/>
        <w:rPr>
          <w:rFonts w:hint="eastAsia"/>
        </w:rPr>
      </w:pPr>
      <w:r>
        <w:rPr>
          <w:lang w:val="en-US" w:eastAsia="zh-CN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page">
              <wp:posOffset>1109980</wp:posOffset>
            </wp:positionH>
            <wp:positionV relativeFrom="page">
              <wp:posOffset>7691757</wp:posOffset>
            </wp:positionV>
            <wp:extent cx="5266690" cy="2092975"/>
            <wp:effectExtent l="0" t="0" r="635" b="6350"/>
            <wp:wrapNone/>
            <wp:docPr id="7" name="图片 6" descr="IMG_20250905_2105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 descr="IMG_20250905_210530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09297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anchor>
        </w:drawing>
      </w:r>
    </w:p>
    <w:p w14:paraId="7B556604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420" w:firstLineChars="200"/>
        <w:rPr>
          <w:rFonts w:hint="eastAsia"/>
        </w:rPr>
      </w:pPr>
    </w:p>
    <w:p w14:paraId="01559B09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420" w:firstLineChars="200"/>
        <w:rPr>
          <w:rFonts w:hint="eastAsia"/>
        </w:rPr>
      </w:pPr>
    </w:p>
    <w:p w14:paraId="2F0ACF3C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420" w:firstLineChars="200"/>
        <w:rPr>
          <w:rFonts w:hint="eastAsia"/>
        </w:rPr>
      </w:pPr>
    </w:p>
    <w:p w14:paraId="3B2A5C06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420" w:firstLineChars="200"/>
        <w:rPr>
          <w:rFonts w:hint="eastAsia"/>
        </w:rPr>
      </w:pPr>
    </w:p>
    <w:p w14:paraId="5EFF35E6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420" w:firstLineChars="200"/>
        <w:rPr>
          <w:rFonts w:hint="eastAsia"/>
        </w:rPr>
      </w:pPr>
    </w:p>
    <w:p w14:paraId="2C4D7F26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420" w:firstLineChars="200"/>
        <w:rPr>
          <w:rFonts w:hint="eastAsia"/>
        </w:rPr>
      </w:pPr>
    </w:p>
    <w:p w14:paraId="670E36D8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420" w:firstLineChars="200"/>
        <w:rPr>
          <w:rFonts w:hint="eastAsia"/>
        </w:rPr>
      </w:pPr>
    </w:p>
    <w:p w14:paraId="7F1DA4BB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420" w:firstLineChars="200"/>
        <w:rPr>
          <w:rFonts w:hint="eastAsia"/>
        </w:rPr>
      </w:pPr>
    </w:p>
    <w:p w14:paraId="0B9AE6A2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420" w:firstLineChars="200"/>
        <w:rPr>
          <w:rFonts w:hint="eastAsia"/>
        </w:rPr>
      </w:pPr>
    </w:p>
    <w:p w14:paraId="13DC1E21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420" w:firstLineChars="200"/>
        <w:rPr>
          <w:rFonts w:hint="eastAsia"/>
        </w:rPr>
      </w:pPr>
      <w:r>
        <w:rPr>
          <w:rFonts w:hint="eastAsia"/>
        </w:rPr>
        <w:t>从井冈山巅到社区一线，从残联窗口到乡村讲台，外语学部学子以多元实践回答着"青年</w:t>
      </w:r>
    </w:p>
    <w:p w14:paraId="520EF3F9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/>
        <w:rPr>
          <w:rFonts w:hint="eastAsia"/>
        </w:rPr>
      </w:pPr>
      <w:r>
        <w:rPr>
          <w:rFonts w:hint="eastAsia"/>
        </w:rPr>
        <w:t>何为"的时代问卷。外语学部主任李儒永表示，学部将持续优化"精准对接、深度参与、反思升华"的实践育人链条，让更多青年在社会大熔炉中淬炼成钢，将"小我"成长融入"大我"征程，为民族复兴伟业贡献青春力量。</w:t>
      </w:r>
    </w:p>
    <w:p w14:paraId="5895C2CC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420" w:firstLineChars="200"/>
        <w:rPr>
          <w:rFonts w:hint="eastAsia"/>
        </w:rPr>
      </w:pPr>
    </w:p>
    <w:p w14:paraId="342DF7F4">
      <w:pPr>
        <w:ind w:firstLine="6930" w:firstLineChars="3300"/>
        <w:rPr>
          <w:lang w:val="en-US" w:eastAsia="zh-CN"/>
          <w:rFonts w:hint="default" w:eastAsiaTheme="minorEastAsia"/>
        </w:rPr>
      </w:pPr>
      <w:bookmarkStart w:id="0" w:name="_GoBack"/>
      <w:bookmarkEnd w:id="0"/>
      <w:r>
        <w:rPr>
          <w:lang w:val="en-US" w:eastAsia="zh-CN"/>
          <w:rFonts w:hint="eastAsia"/>
        </w:rPr>
        <w:t>撰稿人：吴斯唯</w:t>
      </w:r>
    </w:p>
    <w:sectPr>
      <w:footerReference r:id="rId11" w:type="default"/>
      <w:docGrid w:type="lines" w:linePitch="312" w:charSpace="0"/>
      <w:pgSz w:w="11906" w:h="16838"/>
      <w:pgMar w:top="1440" w:right="1800" w:bottom="1440" w:left="1800" w:header="851" w:footer="992" w:gutter="0"/>
      <w:cols w:space="425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14="http://schemas.microsoft.com/office/word/2010/wordml" xmlns:w="http://schemas.openxmlformats.org/wordprocessingml/2006/main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w="http://schemas.openxmlformats.org/wordprocessingml/2006/main" xmlns:wpsCustomData="http://www.wps.cn/officeDocument/2013/wpsCustomData" xmlns:m="http://schemas.openxmlformats.org/officeDocument/2006/math" xmlns:wpi="http://schemas.microsoft.com/office/word/2010/wordprocessingInk" xmlns:w10="urn:schemas-microsoft-com:office:word" xmlns:wp14="http://schemas.microsoft.com/office/word/2010/wordprocessingDrawing" xmlns:v="urn:schemas-microsoft-com:vml" xmlns:w14="http://schemas.microsoft.com/office/word/2010/wordml" xmlns:wne="http://schemas.microsoft.com/office/word/2006/wordml" xmlns:w15="http://schemas.microsoft.com/office/word/2012/wordml" xmlns:wp="http://schemas.openxmlformats.org/drawingml/2006/wordprocessingDrawing" xmlns:wpg="http://schemas.microsoft.com/office/word/2010/wordprocessingGroup" xmlns:r="http://schemas.openxmlformats.org/officeDocument/2006/relationships" xmlns:wps="http://schemas.microsoft.com/office/word/2010/wordprocessingShape" mc:Ignorable="w14 w15 wp14">
  <w:p w14:paraId="4E0655A5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130D26F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</mc:AlternateContent>
    </w:r>
  </w:p>
</w:ftr>
</file>

<file path=word/settings.xml><?xml version="1.0" encoding="utf-8"?>
<w:settings xmlns:mc="http://schemas.openxmlformats.org/markup-compatibility/2006" xmlns:m="http://schemas.openxmlformats.org/officeDocument/2006/math" xmlns:o="urn:schemas-microsoft-com:office:office" xmlns:w="http://schemas.openxmlformats.org/wordprocessingml/2006/main" xmlns:w10="urn:schemas-microsoft-com:office:word" xmlns:wpsCustomData="http://www.wps.cn/officeDocument/2013/wpsCustomData" xmlns:v="urn:schemas-microsoft-com:vml" xmlns:sl="http://schemas.openxmlformats.org/schemaLibrary/2006/main" xmlns:r="http://schemas.openxmlformats.org/officeDocument/2006/relationships" xmlns:w14="http://schemas.microsoft.com/office/word/2010/wordml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zoom w:percent="100"/>
  <w:compat>
    <w:spaceForUL/>
    <w:balanceSingleByteDoubleByteWidth/>
    <w:doNotLeaveBackslashAlone/>
    <w:ulTrailSpace/>
    <w:doNotExpandShiftReturn/>
    <w:adjustLineHeightInTable/>
    <w:useFELayout/>
    <w:compatSetting w:val="14" w:uri="http://schemas.microsoft.com/office/word" w:name="compatibilityMode"/>
    <w:compatSetting w:val="1" w:uri="http://schemas.microsoft.com/office/word" w:name="overrideTableStyleFontSizeAndJustification"/>
    <w:compatSetting w:val="1" w:uri="http://schemas.microsoft.com/office/word" w:name="enableOpenTypeFeatures"/>
    <w:compatSetting w:val="1" w:uri="http://schemas.microsoft.com/office/word" w:name="doNotFlipMirrorIndents"/>
  </w:compat>
  <w:rsids>
    <w:rsidRoot w:val="00000000"/>
    <w:rsid w:val="14830F4C"/>
  </w:rsids>
  <m:mathPr>
    <m:mathFont val="Cambria Math"/>
    <m:brkBin val="before"/>
    <m:brkBinSub val="--"/>
    <m:smallFrac val="0"/>
    <m:dispDef/>
    <m:lMargin val="0"/>
    <m:rMargin val="0"/>
    <m:defJc val="centerGroup"/>
    <m:wrapIndent val="1440"/>
    <m:intLim val="subSup"/>
    <m:naryLim val="undOvr"/>
  </m:mathPr>
  <w:themeFontLang w:eastAsia="zh-CN" w:val="en-US"/>
  <w:shapeDefaults>
    <o:shapedefaults spidmax="0"/>
    <o:shapelayout v:ext="edit">
      <o:idmap v:ext="edit" data="1"/>
    </o:shapelayout>
  </w:shapeDefaults>
  <w:clrSchemeMapping w:bg1="lt1" w:t1="dark1" w:bg2="lt2" w:t2="dark2" w:accent1="accent1" w:accent2="accent2" w:accent3="accent3" w:accent4="accent4" w:accent5="accent5" w:accent6="accent6" w:hyperlink="hyperlink" w:followedHyperlink="followedHyperlink" tx1="dk1" tx2="dk2"/>
  <w:decimalSymbol/>
  <w:listSeparator/>
</w:settings>
</file>

<file path=word/styles.xml><?xml version="1.0" encoding="utf-8"?>
<w:styles xmlns:mc="http://schemas.openxmlformats.org/markup-compatibility/2006" xmlns:m="http://schemas.openxmlformats.org/officeDocument/2006/math" xmlns:v="urn:schemas-microsoft-com:vml" xmlns:sl="http://schemas.openxmlformats.org/schemaLibrary/2006/main" xmlns:w="http://schemas.openxmlformats.org/wordprocessingml/2006/main" xmlns:o="urn:schemas-microsoft-com:office:office" xmlns:r="http://schemas.openxmlformats.org/officeDocument/2006/relationships" xmlns:w14="http://schemas.microsoft.com/office/word/2010/wordml" xmlns:w10="urn:schemas-microsoft-com:office:word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defLockedState="0" w:defSemiHidden="1" w:defUnhideWhenUsed="1" w:defQFormat="0" w:defUIPriority="99" w:count="260">
    <w:lsdException w:name="Balloon Text" w:semiHidden="0" w:unhideWhenUsed="0"/>
    <w:lsdException w:name="Block Text" w:semiHidden="0" w:unhideWhenUsed="0"/>
    <w:lsdException w:name="Body Text" w:semiHidden="0" w:unhideWhenUsed="0"/>
    <w:lsdException w:name="Body Text 2" w:semiHidden="0" w:unhideWhenUsed="0"/>
    <w:lsdException w:name="Body Text 3" w:semiHidden="0" w:unhideWhenUsed="0"/>
    <w:lsdException w:name="Body Text First Indent" w:semiHidden="0" w:unhideWhenUsed="0"/>
    <w:lsdException w:name="Body Text First Indent 2" w:semiHidden="0" w:unhideWhenUsed="0"/>
    <w:lsdException w:name="Body Text Indent" w:semiHidden="0" w:unhideWhenUsed="0"/>
    <w:lsdException w:name="Body Text Indent 2" w:semiHidden="0" w:unhideWhenUsed="0"/>
    <w:lsdException w:name="Body Text Indent 3" w:semiHidden="0" w:unhideWhenUsed="0"/>
    <w:lsdException w:name="Closing" w:semiHidden="0" w:unhideWhenUsed="0"/>
    <w:lsdException w:name="Colorful Grid" w:semiHidden="0" w:unhideWhenUsed="0"/>
    <w:lsdException w:name="Colorful Grid Accent 1" w:semiHidden="0" w:unhideWhenUsed="0"/>
    <w:lsdException w:name="Colorful Grid Accent 2" w:semiHidden="0" w:unhideWhenUsed="0"/>
    <w:lsdException w:name="Colorful Grid Accent 3" w:semiHidden="0" w:unhideWhenUsed="0"/>
    <w:lsdException w:name="Colorful Grid Accent 4" w:semiHidden="0" w:unhideWhenUsed="0"/>
    <w:lsdException w:name="Colorful Grid Accent 5" w:semiHidden="0" w:unhideWhenUsed="0"/>
    <w:lsdException w:name="Colorful Grid Accent 6" w:semiHidden="0" w:unhideWhenUsed="0"/>
    <w:lsdException w:name="Colorful List" w:semiHidden="0" w:unhideWhenUsed="0"/>
    <w:lsdException w:name="Colorful List Accent 1" w:semiHidden="0" w:unhideWhenUsed="0"/>
    <w:lsdException w:name="Colorful List Accent 2" w:semiHidden="0" w:unhideWhenUsed="0"/>
    <w:lsdException w:name="Colorful List Accent 3" w:semiHidden="0" w:unhideWhenUsed="0"/>
    <w:lsdException w:name="Colorful List Accent 4" w:semiHidden="0" w:unhideWhenUsed="0"/>
    <w:lsdException w:name="Colorful List Accent 5" w:semiHidden="0" w:unhideWhenUsed="0"/>
    <w:lsdException w:name="Colorful List Accent 6" w:semiHidden="0" w:unhideWhenUsed="0"/>
    <w:lsdException w:name="Colorful Shading" w:semiHidden="0" w:unhideWhenUsed="0"/>
    <w:lsdException w:name="Colorful Shading Accent 1" w:semiHidden="0" w:unhideWhenUsed="0"/>
    <w:lsdException w:name="Colorful Shading Accent 2" w:semiHidden="0" w:unhideWhenUsed="0"/>
    <w:lsdException w:name="Colorful Shading Accent 3" w:semiHidden="0" w:unhideWhenUsed="0"/>
    <w:lsdException w:name="Colorful Shading Accent 4" w:semiHidden="0" w:unhideWhenUsed="0"/>
    <w:lsdException w:name="Colorful Shading Accent 5" w:semiHidden="0" w:unhideWhenUsed="0"/>
    <w:lsdException w:name="Colorful Shading Accent 6" w:semiHidden="0" w:unhideWhenUsed="0"/>
    <w:lsdException w:name="Dark List" w:semiHidden="0" w:unhideWhenUsed="0"/>
    <w:lsdException w:name="Dark List Accent 1" w:semiHidden="0" w:unhideWhenUsed="0"/>
    <w:lsdException w:name="Dark List Accent 2" w:semiHidden="0" w:unhideWhenUsed="0"/>
    <w:lsdException w:name="Dark List Accent 3" w:semiHidden="0" w:unhideWhenUsed="0"/>
    <w:lsdException w:name="Dark List Accent 4" w:semiHidden="0" w:unhideWhenUsed="0"/>
    <w:lsdException w:name="Dark List Accent 5" w:semiHidden="0" w:unhideWhenUsed="0"/>
    <w:lsdException w:name="Dark List Accent 6" w:semiHidden="0" w:unhideWhenUsed="0"/>
    <w:lsdException w:name="Date" w:semiHidden="0" w:unhideWhenUsed="0"/>
    <w:lsdException w:name="Default Paragraph Font" w:unhideWhenUsed="0"/>
    <w:lsdException w:name="Document Map" w:semiHidden="0" w:unhideWhenUsed="0"/>
    <w:lsdException w:name="E-mail Signature" w:semiHidden="0" w:unhideWhenUsed="0"/>
    <w:lsdException w:name="Emphasis" w:semiHidden="0" w:unhideWhenUsed="0"/>
    <w:lsdException w:name="FollowedHyperlink" w:semiHidden="0" w:unhideWhenUsed="0"/>
    <w:lsdException w:name="HTML Acronym" w:semiHidden="0" w:unhideWhenUsed="0"/>
    <w:lsdException w:name="HTML Address" w:semiHidden="0" w:unhideWhenUsed="0"/>
    <w:lsdException w:name="HTML Cite" w:semiHidden="0" w:unhideWhenUsed="0"/>
    <w:lsdException w:name="HTML Code" w:semiHidden="0" w:unhideWhenUsed="0"/>
    <w:lsdException w:name="HTML Definition" w:semiHidden="0" w:unhideWhenUsed="0"/>
    <w:lsdException w:name="HTML Keyboard" w:semiHidden="0" w:unhideWhenUsed="0"/>
    <w:lsdException w:name="HTML Preformatted" w:semiHidden="0" w:unhideWhenUsed="0"/>
    <w:lsdException w:name="HTML Sample" w:semiHidden="0" w:unhideWhenUsed="0"/>
    <w:lsdException w:name="HTML Typewriter" w:semiHidden="0" w:unhideWhenUsed="0"/>
    <w:lsdException w:name="HTML Variable" w:semiHidden="0" w:unhideWhenUsed="0"/>
    <w:lsdException w:name="Hyperlink" w:semiHidden="0" w:unhideWhenUsed="0"/>
    <w:lsdException w:name="Light Grid" w:semiHidden="0" w:unhideWhenUsed="0"/>
    <w:lsdException w:name="Light Grid Accent 1" w:semiHidden="0" w:unhideWhenUsed="0"/>
    <w:lsdException w:name="Light Grid Accent 2" w:semiHidden="0" w:unhideWhenUsed="0"/>
    <w:lsdException w:name="Light Grid Accent 3" w:semiHidden="0" w:unhideWhenUsed="0"/>
    <w:lsdException w:name="Light Grid Accent 4" w:semiHidden="0" w:unhideWhenUsed="0"/>
    <w:lsdException w:name="Light Grid Accent 5" w:semiHidden="0" w:unhideWhenUsed="0"/>
    <w:lsdException w:name="Light Grid Accent 6" w:semiHidden="0" w:unhideWhenUsed="0"/>
    <w:lsdException w:name="Light List" w:semiHidden="0" w:unhideWhenUsed="0"/>
    <w:lsdException w:name="Light List Accent 1" w:semiHidden="0" w:unhideWhenUsed="0"/>
    <w:lsdException w:name="Light List Accent 2" w:semiHidden="0" w:unhideWhenUsed="0"/>
    <w:lsdException w:name="Light List Accent 3" w:semiHidden="0" w:unhideWhenUsed="0"/>
    <w:lsdException w:name="Light List Accent 4" w:semiHidden="0" w:unhideWhenUsed="0"/>
    <w:lsdException w:name="Light List Accent 5" w:semiHidden="0" w:unhideWhenUsed="0"/>
    <w:lsdException w:name="Light List Accent 6" w:semiHidden="0" w:unhideWhenUsed="0"/>
    <w:lsdException w:name="Light Shading" w:semiHidden="0" w:unhideWhenUsed="0"/>
    <w:lsdException w:name="Light Shading Accent 1" w:semiHidden="0" w:unhideWhenUsed="0"/>
    <w:lsdException w:name="Light Shading Accent 2" w:semiHidden="0" w:unhideWhenUsed="0"/>
    <w:lsdException w:name="Light Shading Accent 3" w:semiHidden="0" w:unhideWhenUsed="0"/>
    <w:lsdException w:name="Light Shading Accent 4" w:semiHidden="0" w:unhideWhenUsed="0"/>
    <w:lsdException w:name="Light Shading Accent 5" w:semiHidden="0" w:unhideWhenUsed="0"/>
    <w:lsdException w:name="Light Shading Accent 6" w:semiHidden="0" w:unhideWhenUsed="0"/>
    <w:lsdException w:name="List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List Number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Medium Grid 1" w:semiHidden="0" w:unhideWhenUsed="0"/>
    <w:lsdException w:name="Medium Grid 1 Accent 1" w:semiHidden="0" w:unhideWhenUsed="0"/>
    <w:lsdException w:name="Medium Grid 1 Accent 2" w:semiHidden="0" w:unhideWhenUsed="0"/>
    <w:lsdException w:name="Medium Grid 1 Accent 3" w:semiHidden="0" w:unhideWhenUsed="0"/>
    <w:lsdException w:name="Medium Grid 1 Accent 4" w:semiHidden="0" w:unhideWhenUsed="0"/>
    <w:lsdException w:name="Medium Grid 1 Accent 5" w:semiHidden="0" w:unhideWhenUsed="0"/>
    <w:lsdException w:name="Medium Grid 1 Accent 6" w:semiHidden="0" w:unhideWhenUsed="0"/>
    <w:lsdException w:name="Medium Grid 2" w:semiHidden="0" w:unhideWhenUsed="0"/>
    <w:lsdException w:name="Medium Grid 2 Accent 1" w:semiHidden="0" w:unhideWhenUsed="0"/>
    <w:lsdException w:name="Medium Grid 2 Accent 2" w:semiHidden="0" w:unhideWhenUsed="0"/>
    <w:lsdException w:name="Medium Grid 2 Accent 3" w:semiHidden="0" w:unhideWhenUsed="0"/>
    <w:lsdException w:name="Medium Grid 2 Accent 4" w:semiHidden="0" w:unhideWhenUsed="0"/>
    <w:lsdException w:name="Medium Grid 2 Accent 5" w:semiHidden="0" w:unhideWhenUsed="0"/>
    <w:lsdException w:name="Medium Grid 2 Accent 6" w:semiHidden="0" w:unhideWhenUsed="0"/>
    <w:lsdException w:name="Medium Grid 3" w:semiHidden="0" w:unhideWhenUsed="0"/>
    <w:lsdException w:name="Medium Grid 3 Accent 1" w:semiHidden="0" w:unhideWhenUsed="0"/>
    <w:lsdException w:name="Medium Grid 3 Accent 2" w:semiHidden="0" w:unhideWhenUsed="0"/>
    <w:lsdException w:name="Medium Grid 3 Accent 3" w:semiHidden="0" w:unhideWhenUsed="0"/>
    <w:lsdException w:name="Medium Grid 3 Accent 4" w:semiHidden="0" w:unhideWhenUsed="0"/>
    <w:lsdException w:name="Medium Grid 3 Accent 5" w:semiHidden="0" w:unhideWhenUsed="0"/>
    <w:lsdException w:name="Medium Grid 3 Accent 6" w:semiHidden="0" w:unhideWhenUsed="0"/>
    <w:lsdException w:name="Medium List 1" w:semiHidden="0" w:unhideWhenUsed="0"/>
    <w:lsdException w:name="Medium List 1 Accent 1" w:semiHidden="0" w:unhideWhenUsed="0"/>
    <w:lsdException w:name="Medium List 1 Accent 2" w:semiHidden="0" w:unhideWhenUsed="0"/>
    <w:lsdException w:name="Medium List 1 Accent 3" w:semiHidden="0" w:unhideWhenUsed="0"/>
    <w:lsdException w:name="Medium List 1 Accent 4" w:semiHidden="0" w:unhideWhenUsed="0"/>
    <w:lsdException w:name="Medium List 1 Accent 5" w:semiHidden="0" w:unhideWhenUsed="0"/>
    <w:lsdException w:name="Medium List 1 Accent 6" w:semiHidden="0" w:unhideWhenUsed="0"/>
    <w:lsdException w:name="Medium List 2" w:semiHidden="0" w:unhideWhenUsed="0"/>
    <w:lsdException w:name="Medium List 2 Accent 1" w:semiHidden="0" w:unhideWhenUsed="0"/>
    <w:lsdException w:name="Medium List 2 Accent 2" w:semiHidden="0" w:unhideWhenUsed="0"/>
    <w:lsdException w:name="Medium List 2 Accent 3" w:semiHidden="0" w:unhideWhenUsed="0"/>
    <w:lsdException w:name="Medium List 2 Accent 4" w:semiHidden="0" w:unhideWhenUsed="0"/>
    <w:lsdException w:name="Medium List 2 Accent 5" w:semiHidden="0" w:unhideWhenUsed="0"/>
    <w:lsdException w:name="Medium List 2 Accent 6" w:semiHidden="0" w:unhideWhenUsed="0"/>
    <w:lsdException w:name="Medium Shading 1" w:semiHidden="0" w:unhideWhenUsed="0"/>
    <w:lsdException w:name="Medium Shading 1 Accent 1" w:semiHidden="0" w:unhideWhenUsed="0"/>
    <w:lsdException w:name="Medium Shading 1 Accent 2" w:semiHidden="0" w:unhideWhenUsed="0"/>
    <w:lsdException w:name="Medium Shading 1 Accent 3" w:semiHidden="0" w:unhideWhenUsed="0"/>
    <w:lsdException w:name="Medium Shading 1 Accent 4" w:semiHidden="0" w:unhideWhenUsed="0"/>
    <w:lsdException w:name="Medium Shading 1 Accent 5" w:semiHidden="0" w:unhideWhenUsed="0"/>
    <w:lsdException w:name="Medium Shading 1 Accent 6" w:semiHidden="0" w:unhideWhenUsed="0"/>
    <w:lsdException w:name="Medium Shading 2" w:semiHidden="0" w:unhideWhenUsed="0"/>
    <w:lsdException w:name="Medium Shading 2 Accent 1" w:semiHidden="0" w:unhideWhenUsed="0"/>
    <w:lsdException w:name="Medium Shading 2 Accent 2" w:semiHidden="0" w:unhideWhenUsed="0"/>
    <w:lsdException w:name="Medium Shading 2 Accent 3" w:semiHidden="0" w:unhideWhenUsed="0"/>
    <w:lsdException w:name="Medium Shading 2 Accent 4" w:semiHidden="0" w:unhideWhenUsed="0"/>
    <w:lsdException w:name="Medium Shading 2 Accent 5" w:semiHidden="0" w:unhideWhenUsed="0"/>
    <w:lsdException w:name="Medium Shading 2 Accent 6" w:semiHidden="0" w:unhideWhenUsed="0"/>
    <w:lsdException w:name="Message Header" w:semiHidden="0" w:unhideWhenUsed="0"/>
    <w:lsdException w:name="Normal" w:semiHidden="0" w:unhideWhenUsed="0"/>
    <w:lsdException w:name="Normal (Web)" w:semiHidden="0" w:unhideWhenUsed="0"/>
    <w:lsdException w:name="Normal Indent" w:semiHidden="0" w:unhideWhenUsed="0"/>
    <w:lsdException w:name="Normal Table" w:unhideWhenUsed="0"/>
    <w:lsdException w:name="Note Heading" w:semiHidden="0" w:unhideWhenUsed="0"/>
    <w:lsdException w:name="Plain Text" w:semiHidden="0" w:unhideWhenUsed="0"/>
    <w:lsdException w:name="Salutation" w:semiHidden="0" w:unhideWhenUsed="0"/>
    <w:lsdException w:name="Signature" w:semiHidden="0" w:unhideWhenUsed="0"/>
    <w:lsdException w:name="Strong" w:semiHidden="0" w:unhideWhenUsed="0"/>
    <w:lsdException w:name="Subtitle" w:semiHidden="0" w:unhideWhenUsed="0"/>
    <w:lsdException w:name="Table 3D effects 1" w:semiHidden="0" w:unhideWhenUsed="0"/>
    <w:lsdException w:name="Table 3D effects 2" w:semiHidden="0" w:unhideWhenUsed="0"/>
    <w:lsdException w:name="Table 3D effects 3" w:semiHidden="0" w:unhideWhenUsed="0"/>
    <w:lsdException w:name="Table Classic 1" w:semiHidden="0" w:unhideWhenUsed="0"/>
    <w:lsdException w:name="Table Classic 2" w:semiHidden="0" w:unhideWhenUsed="0"/>
    <w:lsdException w:name="Table Classic 3" w:semiHidden="0" w:unhideWhenUsed="0"/>
    <w:lsdException w:name="Table Classic 4" w:semiHidden="0" w:unhideWhenUsed="0"/>
    <w:lsdException w:name="Table Colorful 1" w:semiHidden="0" w:unhideWhenUsed="0"/>
    <w:lsdException w:name="Table Colorful 2" w:semiHidden="0" w:unhideWhenUsed="0"/>
    <w:lsdException w:name="Table Colorful 3" w:semiHidden="0" w:unhideWhenUsed="0"/>
    <w:lsdException w:name="Table Columns 1" w:semiHidden="0" w:unhideWhenUsed="0"/>
    <w:lsdException w:name="Table Columns 2" w:semiHidden="0" w:unhideWhenUsed="0"/>
    <w:lsdException w:name="Table Columns 3" w:semiHidden="0" w:unhideWhenUsed="0"/>
    <w:lsdException w:name="Table Columns 4" w:semiHidden="0" w:unhideWhenUsed="0"/>
    <w:lsdException w:name="Table Columns 5" w:semiHidden="0" w:unhideWhenUsed="0"/>
    <w:lsdException w:name="Table Contemporary" w:semiHidden="0" w:unhideWhenUsed="0"/>
    <w:lsdException w:name="Table Elegant" w:semiHidden="0" w:unhideWhenUsed="0"/>
    <w:lsdException w:name="Table Grid" w:semiHidden="0" w:unhideWhenUsed="0"/>
    <w:lsdException w:name="Table Grid 1" w:semiHidden="0" w:unhideWhenUsed="0"/>
    <w:lsdException w:name="Table Grid 2" w:semiHidden="0" w:unhideWhenUsed="0"/>
    <w:lsdException w:name="Table Grid 3" w:semiHidden="0" w:unhideWhenUsed="0"/>
    <w:lsdException w:name="Table Grid 4" w:semiHidden="0" w:unhideWhenUsed="0"/>
    <w:lsdException w:name="Table Grid 5" w:semiHidden="0" w:unhideWhenUsed="0"/>
    <w:lsdException w:name="Table Grid 6" w:semiHidden="0" w:unhideWhenUsed="0"/>
    <w:lsdException w:name="Table Grid 7" w:semiHidden="0" w:unhideWhenUsed="0"/>
    <w:lsdException w:name="Table Grid 8" w:semiHidden="0" w:unhideWhenUsed="0"/>
    <w:lsdException w:name="Table List 1" w:semiHidden="0" w:unhideWhenUsed="0"/>
    <w:lsdException w:name="Table List 2" w:semiHidden="0" w:unhideWhenUsed="0"/>
    <w:lsdException w:name="Table List 3" w:semiHidden="0" w:unhideWhenUsed="0"/>
    <w:lsdException w:name="Table List 4" w:semiHidden="0" w:unhideWhenUsed="0"/>
    <w:lsdException w:name="Table List 5" w:semiHidden="0" w:unhideWhenUsed="0"/>
    <w:lsdException w:name="Table List 6" w:semiHidden="0" w:unhideWhenUsed="0"/>
    <w:lsdException w:name="Table List 7" w:semiHidden="0" w:unhideWhenUsed="0"/>
    <w:lsdException w:name="Table List 8" w:semiHidden="0" w:unhideWhenUsed="0"/>
    <w:lsdException w:name="Table Professional" w:semiHidden="0" w:unhideWhenUsed="0"/>
    <w:lsdException w:name="Table Simple 1" w:semiHidden="0" w:unhideWhenUsed="0"/>
    <w:lsdException w:name="Table Simple 2" w:semiHidden="0" w:unhideWhenUsed="0"/>
    <w:lsdException w:name="Table Simple 3" w:semiHidden="0" w:unhideWhenUsed="0"/>
    <w:lsdException w:name="Table Subtle 1" w:semiHidden="0" w:unhideWhenUsed="0"/>
    <w:lsdException w:name="Table Subtle 2" w:semiHidden="0" w:unhideWhenUsed="0"/>
    <w:lsdException w:name="Table Theme" w:semiHidden="0" w:unhideWhenUsed="0"/>
    <w:lsdException w:name="Table Web 1" w:semiHidden="0" w:unhideWhenUsed="0"/>
    <w:lsdException w:name="Table Web 2" w:semiHidden="0" w:unhideWhenUsed="0"/>
    <w:lsdException w:name="Table Web 3" w:semiHidden="0" w:unhideWhenUsed="0"/>
    <w:lsdException w:name="Title" w:semiHidden="0" w:unhideWhenUsed="0"/>
    <w:lsdException w:name="annotation reference" w:semiHidden="0" w:unhideWhenUsed="0"/>
    <w:lsdException w:name="annotation subject" w:semiHidden="0" w:unhideWhenUsed="0"/>
    <w:lsdException w:name="annotation text" w:semiHidden="0" w:unhideWhenUsed="0"/>
    <w:lsdException w:name="caption"/>
    <w:lsdException w:name="endnote reference" w:semiHidden="0" w:unhideWhenUsed="0"/>
    <w:lsdException w:name="endnote text" w:semiHidden="0" w:unhideWhenUsed="0"/>
    <w:lsdException w:name="envelope address" w:semiHidden="0" w:unhideWhenUsed="0"/>
    <w:lsdException w:name="envelope return" w:semiHidden="0" w:unhideWhenUsed="0"/>
    <w:lsdException w:name="footer" w:semiHidden="0" w:unhideWhenUsed="0"/>
    <w:lsdException w:name="footnote reference" w:semiHidden="0" w:unhideWhenUsed="0"/>
    <w:lsdException w:name="footnote text" w:semiHidden="0" w:unhideWhenUsed="0"/>
    <w:lsdException w:name="header" w:semiHidden="0" w:unhideWhenUsed="0"/>
    <w:lsdException w:name="heading 1" w:semiHidden="0" w:unhideWhenUsed="0"/>
    <w:lsdException w:name="heading 2"/>
    <w:lsdException w:name="heading 3"/>
    <w:lsdException w:name="heading 4"/>
    <w:lsdException w:name="heading 5"/>
    <w:lsdException w:name="heading 6"/>
    <w:lsdException w:name="heading 7"/>
    <w:lsdException w:name="heading 8"/>
    <w:lsdException w:name="heading 9"/>
    <w:lsdException w:name="index 1" w:semiHidden="0" w:unhideWhenUsed="0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index 7" w:semiHidden="0" w:unhideWhenUsed="0"/>
    <w:lsdException w:name="index 8" w:semiHidden="0" w:unhideWhenUsed="0"/>
    <w:lsdException w:name="index 9" w:semiHidden="0" w:unhideWhenUsed="0"/>
    <w:lsdException w:name="index heading" w:semiHidden="0" w:unhideWhenUsed="0"/>
    <w:lsdException w:name="line number" w:semiHidden="0" w:unhideWhenUsed="0"/>
    <w:lsdException w:name="macro" w:semiHidden="0" w:unhideWhenUsed="0"/>
    <w:lsdException w:name="page number" w:semiHidden="0" w:unhideWhenUsed="0"/>
    <w:lsdException w:name="table of authorities" w:semiHidden="0" w:unhideWhenUsed="0"/>
    <w:lsdException w:name="table of figures" w:semiHidden="0" w:unhideWhenUsed="0"/>
    <w:lsdException w:name="toa heading" w:semiHidden="0" w:unhideWhenUsed="0"/>
    <w:lsdException w:name="toc 1" w:semiHidden="0" w:unhideWhenUsed="0"/>
    <w:lsdException w:name="toc 2" w:semiHidden="0" w:unhideWhenUsed="0"/>
    <w:lsdException w:name="toc 3" w:semiHidden="0" w:unhideWhenUsed="0"/>
    <w:lsdException w:name="toc 4" w:semiHidden="0" w:unhideWhenUsed="0"/>
    <w:lsdException w:name="toc 5" w:semiHidden="0" w:unhideWhenUsed="0"/>
    <w:lsdException w:name="toc 6" w:semiHidden="0" w:unhideWhenUsed="0"/>
    <w:lsdException w:name="toc 7" w:semiHidden="0" w:unhideWhenUsed="0"/>
    <w:lsdException w:name="toc 8" w:semiHidden="0" w:unhideWhenUsed="0"/>
    <w:lsdException w:name="toc 9" w:semiHidden="0" w:unhideWhenUsed="0"/>
  </w:latentStyles>
  <w:style w:type="paragraph" w:styleId="1" w:default="1">
    <w:name w:val="Normal"/>
    <w:uiPriority w:val="0"/>
    <w:qFormat/>
    <w:pPr>
      <w:widowControl w:val="0"/>
      <w:jc w:val="both"/>
    </w:pPr>
    <w:rPr>
      <w:sz w:val="21"/>
      <w:lang w:val="en-US" w:eastAsia="zh-CN" w:bidi="ar-SA"/>
      <w:kern w:val="2"/>
      <w:szCs w:val="24"/>
      <w:rFonts w:asciiTheme="minorHAnsi" w:hAnsiTheme="minorHAnsi" w:eastAsiaTheme="minorEastAsia" w:cstheme="minorBidi"/>
    </w:rPr>
  </w:style>
  <w:style w:type="character" w:styleId="5" w:default="1">
    <w:name w:val="Default Paragraph Font"/>
    <w:uiPriority w:val="0"/>
    <w:semiHidden/>
    <w:qFormat/>
  </w:style>
  <w:style w:type="table" w:styleId="4" w:default="1">
    <w:name w:val="Normal Table"/>
    <w:uiPriority w:val="0"/>
    <w:semiHidden/>
    <w:tblPr>
      <w:tblCellMar>
        <w:top w:type="dxa" w:w="0.000000"/>
        <w:bottom w:type="dxa" w:w="0.000000"/>
        <w:left w:type="dxa" w:w="108.000000"/>
        <w:right w:type="dxa" w:w="108.000000"/>
      </w:tblCellMar>
    </w:tblPr>
  </w:style>
  <w:style w:type="paragraph" w:styleId="2">
    <w:name w:val="footer"/>
    <w:basedOn w:val="1"/>
    <w:uiPriority w:val="0"/>
    <w:pPr>
      <w:snapToGrid w:val="0"/>
      <w:jc w:val="left"/>
      <w:tabs>
        <w:tab w:val="center" w:pos="4153"/>
        <w:tab w:val="right" w:pos="8306"/>
      </w:tabs>
    </w:pPr>
    <w:rPr>
      <w:sz w:val="18"/>
    </w:rPr>
  </w:style>
  <w:style w:type="paragraph" w:styleId="3">
    <w:name w:val="header"/>
    <w:basedOn w:val="1"/>
    <w:uiPriority w:val="0"/>
    <w:pPr>
      <w:snapToGrid w:val="0"/>
      <w:jc w:val="both"/>
      <w:outlineLvl w:val="9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pacing w:line="240" w:lineRule="auto"/>
    </w:pPr>
    <w:rPr>
      <w:sz w:val="18"/>
    </w:rPr>
  </w:style>
</w:styles>
</file>

<file path=word/_rels/document.xml.rels><?xml version="1.0" encoding="UTF-8" standalone="yes"?><Relationships xmlns="http://schemas.openxmlformats.org/package/2006/relationships"><Relationship Id="rId11" Type="http://schemas.openxmlformats.org/officeDocument/2006/relationships/footer" Target="footer1.xml" /><Relationship Id="rId10" Type="http://schemas.openxmlformats.org/officeDocument/2006/relationships/image" Target="media/image7.jpeg" /><Relationship Id="rId7" Type="http://schemas.openxmlformats.org/officeDocument/2006/relationships/image" Target="media/image4.jpeg" /><Relationship Id="rId6" Type="http://schemas.openxmlformats.org/officeDocument/2006/relationships/image" Target="media/image3.jpeg" /><Relationship Id="rId9" Type="http://schemas.openxmlformats.org/officeDocument/2006/relationships/image" Target="media/image6.jpeg" /><Relationship Id="rId2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3" Type="http://schemas.openxmlformats.org/officeDocument/2006/relationships/theme" Target="theme/theme1.xml" /><Relationship Id="rId8" Type="http://schemas.openxmlformats.org/officeDocument/2006/relationships/image" Target="media/image5.jpeg" /><Relationship Id="rId1" Type="http://schemas.openxmlformats.org/officeDocument/2006/relationships/settings" Target="settings.xml" /><Relationship Id="rId0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 panose=""/>
        <a:ea typeface=""/>
        <a:cs typeface=""/>
        <a:font script="Hant" typeface="新細明體"/>
        <a:font script="Arab" typeface="Times New Roman"/>
        <a:font script="Knda" typeface="Tunga"/>
        <a:font script="Taml" typeface="Latha"/>
        <a:font script="Ethi" typeface="Nyala"/>
        <a:font script="Thaa" typeface="MV Boli"/>
        <a:font script="Jpan" typeface="ＭＳ ゴシック"/>
        <a:font script="Yiii" typeface="Microsoft Yi Baiti"/>
        <a:font script="Guru" typeface="Raavi"/>
        <a:font script="Hans" typeface="宋体"/>
        <a:font script="Beng" typeface="Vrinda"/>
        <a:font script="Uigh" typeface="Microsoft Uighur"/>
        <a:font script="Thai" typeface="Angsana New"/>
        <a:font script="Gujr" typeface="Shruti"/>
        <a:font script="Syrc" typeface="Estrangelo Edessa"/>
        <a:font script="Khmr" typeface="MoolBoran"/>
        <a:font script="Cans" typeface="Euphemia"/>
        <a:font script="Orya" typeface="Kalinga"/>
        <a:font script="Deva" typeface="Mangal"/>
        <a:font script="Hang" typeface="맑은 고딕"/>
        <a:font script="Mlym" typeface="Kartika"/>
        <a:font script="Mong" typeface="Mongolian Baiti"/>
        <a:font script="Telu" typeface="Gautami"/>
        <a:font script="Sinh" typeface="Iskoola Pota"/>
        <a:font script="Geor" typeface="Sylfaen"/>
        <a:font script="Cher" typeface="Plantagenet Cherokee"/>
        <a:font script="Hebr" typeface="Times New Roman"/>
        <a:font script="Viet" typeface="Times New Roman"/>
        <a:font script="Laoo" typeface="DokChampa"/>
        <a:font script="Tibt" typeface="Microsoft Himalaya"/>
      </a:majorFont>
      <a:minorFont>
        <a:latin typeface="Calibri" panose=""/>
        <a:ea typeface=""/>
        <a:cs typeface=""/>
        <a:font script="Hant" typeface="新細明體"/>
        <a:font script="Arab" typeface="Arial"/>
        <a:font script="Knda" typeface="Tunga"/>
        <a:font script="Taml" typeface="Latha"/>
        <a:font script="Ethi" typeface="Nyala"/>
        <a:font script="Thaa" typeface="MV Boli"/>
        <a:font script="Jpan" typeface="ＭＳ 明朝"/>
        <a:font script="Yiii" typeface="Microsoft Yi Baiti"/>
        <a:font script="Guru" typeface="Raavi"/>
        <a:font script="Hans" typeface="宋体"/>
        <a:font script="Beng" typeface="Vrinda"/>
        <a:font script="Uigh" typeface="Microsoft Uighur"/>
        <a:font script="Thai" typeface="Cordia New"/>
        <a:font script="Gujr" typeface="Shruti"/>
        <a:font script="Syrc" typeface="Estrangelo Edessa"/>
        <a:font script="Khmr" typeface="DaunPenh"/>
        <a:font script="Cans" typeface="Euphemia"/>
        <a:font script="Orya" typeface="Kalinga"/>
        <a:font script="Deva" typeface="Mangal"/>
        <a:font script="Hang" typeface="맑은 고딕"/>
        <a:font script="Mlym" typeface="Kartika"/>
        <a:font script="Mong" typeface="Mongolian Baiti"/>
        <a:font script="Telu" typeface="Gautami"/>
        <a:font script="Sinh" typeface="Iskoola Pota"/>
        <a:font script="Geor" typeface="Sylfaen"/>
        <a:font script="Cher" typeface="Plantagenet Cherokee"/>
        <a:font script="Hebr" typeface="Arial"/>
        <a:font script="Viet" typeface="Arial"/>
        <a:font script="Laoo" typeface="DokChampa"/>
        <a:font script="Tibt" typeface="Microsoft Himalaya"/>
      </a:minorFont>
    </a:fontScheme>
    <a:fmtScheme name="WPS">
      <a:fillStyleLst>
        <a:solidFill>
          <a:schemeClr val="phClr"/>
        </a:solidFill>
        <a:gradFill rotWithShape="0"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 rotWithShape="0"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a:dist="25400" a:dir="5400000" a:sy="-100000" a:endA="300" a:endPos="40000" a:stA="50000" a:algn="bl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0</Words>
  <Characters>0</Characters>
  <Application>WPS Office_12.1.0.23542_F1E327BC-269C-435d-A152-05C5408002CA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dcmitype="http://purl.org/dc/dcmitype/" xmlns:xsi="http://www.w3.org/2001/XMLSchema-instance">
  <dc:title/>
  <dc:subject/>
  <dc:creator/>
  <cp:keywords/>
  <dc:description/>
  <cp:lastModifiedBy>WPS_1709474838</cp:lastModifiedBy>
  <cp:revision>0</cp:revision>
  <dcterms:created xsi:type="dcterms:W3CDTF">2025-11-26T05:10:20Z</dcterms:created>
  <dcterms:modified xsi:type="dcterms:W3CDTF">2025-11-26T05:34:54Z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eyJoZGlkIjoiOTc0NDNkZjFiMzliODQxOTAzNDAyOGQ4YTNkZWQ4YTUiLCJ1c2VySWQiOiIxNTg0Mjg5MDcwIn0=</vt:lpwstr>
  </property>
  <property fmtid="{D5CDD505-2E9C-101B-9397-08002B2CF9AE}" pid="4" name="ICV">
    <vt:lpwstr>B113A583AC434D5C88C6AAF57CDB34DC_12</vt:lpwstr>
  </property>
</Properties>
</file>

<file path=tbak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4D321E">
      <w:pPr>
        <w:jc w:val="center"/>
        <w:rPr>
          <w:rFonts w:hint="eastAsia"/>
          <w:b/>
          <w:bCs/>
          <w:i/>
          <w:iCs/>
          <w:sz w:val="44"/>
          <w:szCs w:val="44"/>
          <w14:shadow w14:blurRad="50800" w14:dist="38100" w14:dir="10800000" w14:sx="100000" w14:sy="100000" w14:kx="0" w14:ky="0" w14:algn="r">
            <w14:srgbClr w14:val="000000">
              <w14:alpha w14:val="60000"/>
            </w14:srgbClr>
          </w14:shadow>
        </w:rPr>
      </w:pPr>
      <w:r>
        <w:rPr>
          <w:rFonts w:hint="eastAsia"/>
          <w:b/>
          <w:bCs/>
          <w:i/>
          <w:iCs/>
          <w:sz w:val="44"/>
          <w:szCs w:val="44"/>
          <w14:shadow w14:blurRad="50800" w14:dist="38100" w14:dir="10800000" w14:sx="100000" w14:sy="100000" w14:kx="0" w14:ky="0" w14:algn="r">
            <w14:srgbClr w14:val="000000">
              <w14:alpha w14:val="60000"/>
            </w14:srgbClr>
          </w14:shadow>
        </w:rPr>
        <w:t>青春躬耕实践沃土 理想绽放时代光芒</w:t>
      </w:r>
    </w:p>
    <w:p w14:paraId="39039488">
      <w:pPr>
        <w:jc w:val="center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 xml:space="preserve">                              </w:t>
      </w:r>
      <w:r>
        <w:rPr>
          <w:rFonts w:hint="eastAsia"/>
          <w:sz w:val="24"/>
          <w:szCs w:val="24"/>
        </w:rPr>
        <w:t>——武汉城市学院2025年暑期社会实践活动</w:t>
      </w:r>
    </w:p>
    <w:p w14:paraId="0B98789E">
      <w:pPr>
        <w:jc w:val="center"/>
        <w:rPr>
          <w:rFonts w:hint="eastAsia"/>
          <w:sz w:val="24"/>
          <w:szCs w:val="24"/>
        </w:rPr>
      </w:pPr>
    </w:p>
    <w:p w14:paraId="40882C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2025年暑期，武汉城市学院青年学子奔赴祖国各地，在政务一线、乡村热土与革命圣地展开深度实践，于服务中淬炼初心，在调研中厚植信仰。从基层治理的微观体察到红色精神的宏观传承，数百名学子以脚步丈量责任，用成长回应时代，绘就出一幅知行合一的青春画卷。</w:t>
      </w:r>
    </w:p>
    <w:p w14:paraId="4B60F6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</w:rPr>
      </w:pPr>
    </w:p>
    <w:p w14:paraId="15FA16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实践成果的厚度，离不开基石的牢固。2023级英语专业学生夏威夷作为"青马砺行"井冈铁律研习团的调研组骨干，在实践前期便展现出扎实的筹备能力。她主动牵头制定访谈大纲，系统梳理井冈山纪律相关的历史地理脉络，为团队明确调研方向。实地走访雷打石、井冈山革命博物馆期间，她不仅承担访谈记录与拍摄工作，更以细致入微的观察捕捉细节，为课题积累了珍贵的第一手影像与文本资料。在她看来，每一次快门按下、每一段文字记录，都是在为革命历史"建档立案"。这种"甘居幕后"的坚守，让她对"三大纪律、八项注意"的精神实质有了具象化认知，更体会到团队协作中"个体如钉、集体如舰"的深刻意涵</w:t>
      </w:r>
    </w:p>
    <w:p w14:paraId="696DD8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</w:p>
    <w:p w14:paraId="7201C0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883" w:firstLineChars="200"/>
        <w:textAlignment w:val="auto"/>
        <w:rPr>
          <w:rFonts w:hint="eastAsia"/>
        </w:rPr>
      </w:pPr>
      <w:r>
        <w:rPr>
          <w:rFonts w:ascii="宋体" w:hAnsi="宋体" w:eastAsia="宋体"/>
          <w:b/>
          <w:sz w:val="44"/>
          <w:szCs w:val="4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568325</wp:posOffset>
            </wp:positionH>
            <wp:positionV relativeFrom="paragraph">
              <wp:posOffset>33655</wp:posOffset>
            </wp:positionV>
            <wp:extent cx="4185920" cy="2698115"/>
            <wp:effectExtent l="0" t="0" r="5080" b="6985"/>
            <wp:wrapNone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85920" cy="269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57C30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</w:p>
    <w:p w14:paraId="506230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</w:p>
    <w:p w14:paraId="479AF1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</w:p>
    <w:p w14:paraId="411113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</w:p>
    <w:p w14:paraId="0D31B4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</w:rPr>
      </w:pPr>
    </w:p>
    <w:p w14:paraId="756B9A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</w:p>
    <w:p w14:paraId="265954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</w:p>
    <w:p w14:paraId="4C5097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</w:p>
    <w:p w14:paraId="3548AA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</w:p>
    <w:p w14:paraId="77AF97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</w:p>
    <w:p w14:paraId="2A3ABF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</w:p>
    <w:p w14:paraId="5E9CF4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</w:p>
    <w:p w14:paraId="7894BC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</w:p>
    <w:p w14:paraId="71558D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</w:p>
    <w:p w14:paraId="02A81E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真正的实践不在于单向输入，而在于双向建构。同团队的2023级英语专业学生肖可可，以方案组与宣传组"双核心"身份，开创了"研究—传播"协同推进的实践范式。前期，她埋首于历史文献，将庞杂史料转化为清晰的调研路线图；实践中，她执笔撰写"行走的思政课"台本，让理论讲述充满现场感。作为宣传骨干，她产出的6篇实践通讯如《井冈精神映初心》《踏井冈热土铸青春铁律》等，以细腻笔触与鲜活影像在校级平台持续推送，总阅读量突破万人次；其牵头制作的短视频更将调研案例转化为青年喜闻乐见的视觉叙事。肖可可坦言："研究是实践的根系，传播是成果的翅膀，唯有二者共振，才能让红色文化飞入更多青年心海。"这种双重角色的沉浸，让她完成了从参与者到建构者的身份跃迁。</w:t>
      </w:r>
    </w:p>
    <w:p w14:paraId="460B00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</w:p>
    <w:p w14:paraId="34CCBF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</w:p>
    <w:p w14:paraId="32E32D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</w:p>
    <w:p w14:paraId="0E730C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ascii="宋体" w:hAnsi="宋体" w:eastAsia="宋体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-295910</wp:posOffset>
            </wp:positionH>
            <wp:positionV relativeFrom="paragraph">
              <wp:posOffset>97155</wp:posOffset>
            </wp:positionV>
            <wp:extent cx="3046095" cy="2719705"/>
            <wp:effectExtent l="0" t="0" r="1905" b="4445"/>
            <wp:wrapNone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46095" cy="271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hAnsi="宋体" w:eastAsia="宋体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2804795</wp:posOffset>
            </wp:positionH>
            <wp:positionV relativeFrom="paragraph">
              <wp:posOffset>99695</wp:posOffset>
            </wp:positionV>
            <wp:extent cx="2915285" cy="2701925"/>
            <wp:effectExtent l="0" t="0" r="8890" b="3175"/>
            <wp:wrapNone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rcRect t="19659"/>
                    <a:stretch>
                      <a:fillRect/>
                    </a:stretch>
                  </pic:blipFill>
                  <pic:spPr>
                    <a:xfrm>
                      <a:off x="0" y="0"/>
                      <a:ext cx="2915285" cy="270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53AAB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</w:p>
    <w:p w14:paraId="74937A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</w:p>
    <w:p w14:paraId="798A9B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</w:p>
    <w:p w14:paraId="443DFF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</w:p>
    <w:p w14:paraId="39F937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</w:p>
    <w:p w14:paraId="2B6586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</w:p>
    <w:p w14:paraId="437731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</w:p>
    <w:p w14:paraId="052CBE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</w:p>
    <w:p w14:paraId="6F2A5C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</w:p>
    <w:p w14:paraId="6D1E7C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</w:p>
    <w:p w14:paraId="52BE2A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</w:p>
    <w:p w14:paraId="2808AD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</w:p>
    <w:p w14:paraId="62D0B8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</w:p>
    <w:p w14:paraId="44CF8D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</w:rPr>
      </w:pPr>
    </w:p>
    <w:p w14:paraId="3649C0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</w:rPr>
      </w:pPr>
    </w:p>
    <w:p w14:paraId="72C191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eastAsiaTheme="minorEastAsia"/>
          <w:lang w:eastAsia="zh-CN"/>
        </w:rPr>
      </w:pPr>
      <w:r>
        <w:rPr>
          <w:rFonts w:hint="eastAsia"/>
        </w:rPr>
        <w:t>从倾听到表达，是思想升华的关键一跃。2023级日语专业学生任晓芸在研习团中主动请缨，承担起实践视频主讲人的重任。面对镜头，她不仅要将团队的调研见闻条理化，更需以青年视角对革命纪律精神进行现代表达。从雷打石的斑驳旧影到博物馆里的珍贵文物，她以清晰流畅的讲述串联起历史与当下，在一次次NG与重录中克服了公众表达的怯懦。在汇报组的协作中，她深度参与资料整理与内容提炼，为课题成果的逻辑成型提供了关键支撑。这场"沉浸式理想信念教育"让她深刻感悟到，井冈山精神不是尘封的概念，而是可以触摸的信仰温度，更是指引青年"扣好人生第一粒扣子"的行动坐标</w:t>
      </w:r>
      <w:r>
        <w:rPr>
          <w:rFonts w:hint="eastAsia"/>
          <w:lang w:eastAsia="zh-CN"/>
        </w:rPr>
        <w:t>。</w:t>
      </w:r>
    </w:p>
    <w:p w14:paraId="7D3D2E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 w:ascii="楷体_GB2312" w:hAnsi="宋体" w:eastAsia="楷体_GB2312" w:cs="宋体"/>
          <w:color w:val="000000"/>
          <w:kern w:val="0"/>
          <w:sz w:val="21"/>
          <w:szCs w:val="28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523240</wp:posOffset>
            </wp:positionH>
            <wp:positionV relativeFrom="paragraph">
              <wp:posOffset>189230</wp:posOffset>
            </wp:positionV>
            <wp:extent cx="4146550" cy="3736975"/>
            <wp:effectExtent l="0" t="0" r="6350" b="6350"/>
            <wp:wrapNone/>
            <wp:docPr id="2" name="图片 1" descr="IMG_20250903_2114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MG_20250903_21145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46550" cy="373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2E4E3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</w:p>
    <w:p w14:paraId="001B07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</w:p>
    <w:p w14:paraId="3235F8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</w:p>
    <w:p w14:paraId="121645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</w:p>
    <w:p w14:paraId="5075B6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</w:p>
    <w:p w14:paraId="6A64E6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</w:p>
    <w:p w14:paraId="523A3B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</w:p>
    <w:p w14:paraId="37493B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</w:p>
    <w:p w14:paraId="3A12A9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</w:p>
    <w:p w14:paraId="1C4274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</w:p>
    <w:p w14:paraId="73C0BB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</w:p>
    <w:p w14:paraId="1CFF6E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</w:p>
    <w:p w14:paraId="7907C0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</w:p>
    <w:p w14:paraId="4C8BAF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</w:p>
    <w:p w14:paraId="32E41C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</w:p>
    <w:p w14:paraId="398408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</w:p>
    <w:p w14:paraId="59EF59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</w:rPr>
      </w:pPr>
    </w:p>
    <w:p w14:paraId="349947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</w:rPr>
      </w:pPr>
    </w:p>
    <w:p w14:paraId="307FC8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</w:rPr>
      </w:pPr>
    </w:p>
    <w:p w14:paraId="56F6C8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</w:rPr>
      </w:pPr>
    </w:p>
    <w:p w14:paraId="1A39AD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eastAsia="zh-CN"/>
        </w:rPr>
      </w:pPr>
      <w:r>
        <w:rPr>
          <w:rFonts w:hint="eastAsia"/>
        </w:rPr>
        <w:t>基层是最好的课堂，群众是最好的老师。2024级商务英语专业学生姚梓星放弃假期舒适区，在家乡红安县残疾人联合会坚守实习岗位一个月。面对陌生的助残政策与复杂的服务需求，她摒弃旁观者心态，以"空杯"姿态主动学习业务流程。从接听咨询热线时的耐心倾听，到接待来访残疾人时的真诚交流，她逐渐领悟到"人道、廉洁、服务、奉献"八字背后沉甸甸的分量。一次，为帮助一位视障老人补办证件，她反复沟通、多方协调，当老人紧握她的手连声道谢时，她突然理解了"被需要"的价值。这段经历不仅锤炼了她的跨文化沟通能力，更重塑了她的价值观——真正的专业本领，应服务于最柔软的社会需求。她的踏实表现赢得了残联领导"有担当、有温度"的高度评价</w:t>
      </w:r>
      <w:r>
        <w:rPr>
          <w:rFonts w:hint="eastAsia"/>
          <w:lang w:eastAsia="zh-CN"/>
        </w:rPr>
        <w:t>。</w:t>
      </w:r>
    </w:p>
    <w:p w14:paraId="3EE355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eastAsia="zh-CN"/>
        </w:rPr>
      </w:pPr>
      <w:r>
        <w:rPr>
          <w:rFonts w:hint="eastAsia" w:ascii="楷体_GB2312" w:hAnsi="宋体" w:eastAsia="楷体_GB2312" w:cs="宋体"/>
          <w:color w:val="000000"/>
          <w:kern w:val="0"/>
          <w:sz w:val="21"/>
          <w:szCs w:val="28"/>
        </w:rPr>
        <w:drawing>
          <wp:anchor distT="0" distB="0" distL="0" distR="0" simplePos="0" relativeHeight="251663360" behindDoc="0" locked="0" layoutInCell="1" allowOverlap="1">
            <wp:simplePos x="0" y="0"/>
            <wp:positionH relativeFrom="column">
              <wp:posOffset>95250</wp:posOffset>
            </wp:positionH>
            <wp:positionV relativeFrom="paragraph">
              <wp:posOffset>40640</wp:posOffset>
            </wp:positionV>
            <wp:extent cx="2481580" cy="2940685"/>
            <wp:effectExtent l="0" t="0" r="4445" b="2540"/>
            <wp:wrapNone/>
            <wp:docPr id="152112374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1123749" name="图片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81580" cy="2940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楷体_GB2312" w:hAnsi="宋体" w:eastAsia="楷体_GB2312" w:cs="宋体"/>
          <w:color w:val="000000"/>
          <w:kern w:val="0"/>
          <w:sz w:val="21"/>
          <w:szCs w:val="28"/>
        </w:rPr>
        <w:drawing>
          <wp:anchor distT="0" distB="0" distL="0" distR="0" simplePos="0" relativeHeight="251664384" behindDoc="0" locked="0" layoutInCell="1" allowOverlap="1">
            <wp:simplePos x="0" y="0"/>
            <wp:positionH relativeFrom="column">
              <wp:posOffset>2818130</wp:posOffset>
            </wp:positionH>
            <wp:positionV relativeFrom="paragraph">
              <wp:posOffset>43180</wp:posOffset>
            </wp:positionV>
            <wp:extent cx="2430145" cy="2943225"/>
            <wp:effectExtent l="0" t="0" r="8255" b="0"/>
            <wp:wrapNone/>
            <wp:docPr id="178450455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4504551" name="图片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30145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21D68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eastAsia="zh-CN"/>
        </w:rPr>
      </w:pPr>
    </w:p>
    <w:p w14:paraId="19DA14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eastAsia="zh-CN"/>
        </w:rPr>
      </w:pPr>
    </w:p>
    <w:p w14:paraId="317DC1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eastAsia="zh-CN"/>
        </w:rPr>
      </w:pPr>
    </w:p>
    <w:p w14:paraId="19A2C2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eastAsia="zh-CN"/>
        </w:rPr>
      </w:pPr>
    </w:p>
    <w:p w14:paraId="48FE92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eastAsia="zh-CN"/>
        </w:rPr>
      </w:pPr>
    </w:p>
    <w:p w14:paraId="14B7F9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eastAsia="zh-CN"/>
        </w:rPr>
      </w:pPr>
    </w:p>
    <w:p w14:paraId="3A652C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eastAsia="zh-CN"/>
        </w:rPr>
      </w:pPr>
    </w:p>
    <w:p w14:paraId="0AF0C7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eastAsia="zh-CN"/>
        </w:rPr>
      </w:pPr>
    </w:p>
    <w:p w14:paraId="766BD8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eastAsia="zh-CN"/>
        </w:rPr>
      </w:pPr>
    </w:p>
    <w:p w14:paraId="67198A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eastAsia="zh-CN"/>
        </w:rPr>
      </w:pPr>
    </w:p>
    <w:p w14:paraId="433721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eastAsia="zh-CN"/>
        </w:rPr>
      </w:pPr>
    </w:p>
    <w:p w14:paraId="4439F2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eastAsia="zh-CN"/>
        </w:rPr>
      </w:pPr>
    </w:p>
    <w:p w14:paraId="6E2133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eastAsia="zh-CN"/>
        </w:rPr>
      </w:pPr>
    </w:p>
    <w:p w14:paraId="2754D1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lang w:eastAsia="zh-CN"/>
        </w:rPr>
      </w:pPr>
    </w:p>
    <w:p w14:paraId="70AF03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lang w:eastAsia="zh-CN"/>
        </w:rPr>
      </w:pPr>
    </w:p>
    <w:p w14:paraId="3194DC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</w:rPr>
      </w:pPr>
    </w:p>
    <w:p w14:paraId="3C2A0F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教育的意义，在于点燃而非灌输。2024级英语专业学生陈潇在返乡实践中，于家乡村委会体验了两天高密度村务工作，从数据整理中窥见基层治理的精细逻辑。更触动她的是，当承担英语辅导任务时，本以为自己能游刃有余，却在讲解虚拟语气等语法难点时"卡了壳"。学生迷茫的眼神如镜子般照出她知识体系"碎片化"的短板——能做题，却说不清原理。这次"挫败"成为她专业认知的转折点：她意识到英语教育不只是语言技巧传授，更是系统性思维建构。联想到乡村文旅发展对外宣人才的渴求，她豁然开朗："英专生可以成为家乡的'翻译官'，把乡土故事讲给世界听。"短短两天，她从"教学失误"中锚定了未来方向——要做一名能"讲透知识、更讲活文化"的好老师。</w:t>
      </w:r>
    </w:p>
    <w:p w14:paraId="4BF62E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lang w:val="en-US" w:eastAsia="zh-CN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-33020</wp:posOffset>
            </wp:positionH>
            <wp:positionV relativeFrom="paragraph">
              <wp:posOffset>41275</wp:posOffset>
            </wp:positionV>
            <wp:extent cx="5266690" cy="2270125"/>
            <wp:effectExtent l="0" t="0" r="635" b="6350"/>
            <wp:wrapNone/>
            <wp:docPr id="7" name="图片 6" descr="IMG_20250905_2105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 descr="IMG_20250905_210530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27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B5566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</w:p>
    <w:p w14:paraId="01559B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</w:p>
    <w:p w14:paraId="2F0ACF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</w:p>
    <w:p w14:paraId="3B2A5C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</w:p>
    <w:p w14:paraId="5EFF35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</w:p>
    <w:p w14:paraId="2C4D7F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</w:p>
    <w:p w14:paraId="670E36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</w:p>
    <w:p w14:paraId="7F1DA4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</w:p>
    <w:p w14:paraId="0B9AE6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</w:p>
    <w:p w14:paraId="13DC1E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从井冈山巅到社区一线，从残联窗口到乡村讲台，武城院学子以多元实践回答着"青</w:t>
      </w:r>
    </w:p>
    <w:p w14:paraId="520EF3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何为"的时代问卷。校团委负责人表示，学校将持续优化"精准对接、深度参与、反思升华"的实践育人链条，让更多青年在社会大熔炉中淬炼成钢，将"小我"成长融入"大我"征程，为民族复兴伟业贡献青春力量。</w:t>
      </w:r>
    </w:p>
    <w:p w14:paraId="5895C2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</w:p>
    <w:p w14:paraId="342DF7F4">
      <w:pPr>
        <w:ind w:firstLine="6930" w:firstLineChars="3300"/>
        <w:rPr>
          <w:rFonts w:hint="default" w:eastAsiaTheme="minorEastAsia"/>
          <w:lang w:val="en-US" w:eastAsia="zh-CN"/>
        </w:rPr>
      </w:pPr>
      <w:bookmarkStart w:id="0" w:name="_GoBack"/>
      <w:bookmarkEnd w:id="0"/>
      <w:r>
        <w:rPr>
          <w:rFonts w:hint="eastAsia"/>
          <w:lang w:val="en-US" w:eastAsia="zh-CN"/>
        </w:rPr>
        <w:t>撰稿人：吴斯唯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tbak/document1.xml><?xml version="1.0" encoding="utf-8"?>
<w:document xmlns:wps="http://schemas.microsoft.com/office/word/2010/wordprocessingShape" xmlns:r="http://schemas.openxmlformats.org/officeDocument/2006/relationships" xmlns:wpg="http://schemas.microsoft.com/office/word/2010/wordprocessingGroup" xmlns:wp="http://schemas.openxmlformats.org/drawingml/2006/wordprocessingDrawing" xmlns:w15="http://schemas.microsoft.com/office/word/2012/wordml" xmlns:wne="http://schemas.microsoft.com/office/word/2006/wordml" xmlns:w14="http://schemas.microsoft.com/office/word/2010/wordml" xmlns:v="urn:schemas-microsoft-com:vml" xmlns:wp14="http://schemas.microsoft.com/office/word/2010/wordprocessingDrawing" xmlns:w10="urn:schemas-microsoft-com:office:word" xmlns:wpi="http://schemas.microsoft.com/office/word/2010/wordprocessingInk" xmlns:m="http://schemas.openxmlformats.org/officeDocument/2006/math" xmlns:wpsCustomData="http://www.wps.cn/officeDocument/2013/wpsCustomData" xmlns:w="http://schemas.openxmlformats.org/wordprocessingml/2006/main" xmlns:o="urn:schemas-microsoft-com:office:office" xmlns:mc="http://schemas.openxmlformats.org/markup-compatibility/2006" xmlns:wpc="http://schemas.microsoft.com/office/word/2010/wordprocessingCanvas" mc:Ignorable="w14 w15 wp14">
  <w:body>
    <w:p w14:paraId="514D321E">
      <w:pPr>
        <w:jc w:val="center"/>
        <w:rPr>
          <w:b w:val="1"/>
          <w:i w:val="1"/>
          <w:sz w:val="44"/>
          <w:bCs/>
          <w:iCs/>
          <w:szCs w:val="44"/>
          <w14:shadow w14:blurRad="50800" w14:dist="38100" w14:dir="10800000" w14:sx="100000" w14:sy="100000" w14:kx="0" w14:ky="0" w14:algn="r">
            <w14:srgbClr w14:val="000000">
              <w14:alpha w14:val="60000"/>
            </w14:srgbClr>
          </w14:shadow>
          <w:rFonts w:hint="eastAsia"/>
        </w:rPr>
      </w:pPr>
      <w:r>
        <w:rPr>
          <w:b w:val="1"/>
          <w:i w:val="1"/>
          <w:sz w:val="44"/>
          <w:bCs/>
          <w:iCs/>
          <w:szCs w:val="44"/>
          <w14:shadow w14:blurRad="50800" w14:dist="38100" w14:dir="10800000" w14:sx="100000" w14:sy="100000" w14:kx="0" w14:ky="0" w14:algn="r">
            <w14:srgbClr w14:val="000000">
              <w14:alpha w14:val="60000"/>
            </w14:srgbClr>
          </w14:shadow>
          <w:rFonts w:hint="eastAsia"/>
        </w:rPr>
        <w:t>青春躬耕实践沃土 理想绽放时代光芒</w:t>
      </w:r>
    </w:p>
    <w:p w14:paraId="39039488">
      <w:pPr>
        <w:jc w:val="center"/>
        <w:rPr>
          <w:sz w:val="24"/>
          <w:szCs w:val="24"/>
          <w:rFonts w:hint="eastAsia"/>
        </w:rPr>
      </w:pPr>
      <w:r>
        <w:rPr>
          <w:sz w:val="24"/>
          <w:lang w:val="en-US" w:eastAsia="zh-CN"/>
          <w:szCs w:val="24"/>
          <w:rFonts w:hint="eastAsia"/>
        </w:rPr>
        <w:t xml:space="preserve">                             </w:t>
      </w:r>
      <w:r>
        <w:rPr>
          <w:sz w:val="24"/>
          <w:szCs w:val="24"/>
          <w:rFonts w:hint="eastAsia"/>
        </w:rPr>
        <w:t>——武汉城市学院外语学部2025年暑期社                       会实践活动</w:t>
      </w:r>
    </w:p>
    <w:p w14:paraId="0B98789E">
      <w:pPr>
        <w:jc w:val="center"/>
        <w:rPr>
          <w:sz w:val="24"/>
          <w:szCs w:val="24"/>
          <w:rFonts w:hint="eastAsia"/>
        </w:rPr>
      </w:pPr>
    </w:p>
    <w:p w14:paraId="40882C46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420" w:firstLineChars="200"/>
        <w:rPr>
          <w:rFonts w:hint="eastAsia"/>
        </w:rPr>
      </w:pPr>
      <w:r>
        <w:rPr>
          <w:rFonts w:hint="eastAsia"/>
        </w:rPr>
        <w:t>2025年暑期，武汉城市学院外语学部青年学子奔赴祖国各地，在政务一线、乡村热土与革命圣地展开深度实践，于服务中淬炼初心，在调研中厚植信仰。从基层治理的微观体察到红色精神的宏观传承，数百名学子以脚步丈量责任，用成长回应时代，绘就出一幅知行合一的青春画卷。</w:t>
      </w:r>
    </w:p>
    <w:p w14:paraId="4B60F64E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rPr>
          <w:rFonts w:hint="eastAsia"/>
        </w:rPr>
      </w:pPr>
    </w:p>
    <w:p w14:paraId="15FA16FB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420" w:firstLineChars="200"/>
        <w:rPr>
          <w:rFonts w:hint="eastAsia"/>
        </w:rPr>
      </w:pPr>
      <w:r>
        <w:rPr>
          <w:rFonts w:hint="eastAsia"/>
        </w:rPr>
        <w:t>实践成果的厚度，离不开基石的牢固。2023级英语专业学生夏威夷作为"青马砺行"井冈铁律研习团的调研组骨干，在实践前期便展现出扎实的筹备能力。她主动牵头制定访谈大纲，系统梳理井冈山纪律相关的历史地理脉络，为团队明确调研方向。实地走访雷打石、井冈山革命博物馆期间，她不仅承担访谈记录与拍摄工作，更以细致入微的观察捕捉细节，为课题积累了珍贵的第一手影像与文本资料。在她看来，每一次快门按下、每一段文字记录，都是在为革命历史"建档立案"。这种"甘居幕后"的坚守，让她对"三大纪律、八项注意"的精神实质有了具象化认知，更体会到团队协作中"个体如钉、集体如舰"的深刻意涵</w:t>
      </w:r>
    </w:p>
    <w:p w14:paraId="696DD852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420" w:firstLineChars="200"/>
        <w:rPr>
          <w:rFonts w:hint="eastAsia"/>
        </w:rPr>
      </w:pPr>
    </w:p>
    <w:p w14:paraId="7201C035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883" w:firstLineChars="200"/>
        <w:rPr>
          <w:rFonts w:hint="eastAsia"/>
        </w:rPr>
      </w:pPr>
      <w:r>
        <w:rPr>
          <w:b w:val="1"/>
          <w:sz w:val="44"/>
          <w:szCs w:val="44"/>
          <w:rFonts w:ascii="宋体" w:hAnsi="宋体" w:eastAsia="宋体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568325</wp:posOffset>
            </wp:positionH>
            <wp:positionV relativeFrom="paragraph">
              <wp:posOffset>33655</wp:posOffset>
            </wp:positionV>
            <wp:extent cx="4185920" cy="2698115"/>
            <wp:effectExtent l="0" t="0" r="5080" b="6985"/>
            <wp:wrapNone/>
            <wp:docPr id="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85920" cy="269811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anchor>
        </w:drawing>
      </w:r>
    </w:p>
    <w:p w14:paraId="557C300C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420" w:firstLineChars="200"/>
        <w:rPr>
          <w:rFonts w:hint="eastAsia"/>
        </w:rPr>
      </w:pPr>
    </w:p>
    <w:p w14:paraId="5062305E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420" w:firstLineChars="200"/>
        <w:rPr>
          <w:rFonts w:hint="eastAsia"/>
        </w:rPr>
      </w:pPr>
    </w:p>
    <w:p w14:paraId="479AF1F5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420" w:firstLineChars="200"/>
        <w:rPr>
          <w:rFonts w:hint="eastAsia"/>
        </w:rPr>
      </w:pPr>
    </w:p>
    <w:p w14:paraId="4111131C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420" w:firstLineChars="200"/>
        <w:rPr>
          <w:rFonts w:hint="eastAsia"/>
        </w:rPr>
      </w:pPr>
    </w:p>
    <w:p w14:paraId="0D31B46C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rPr>
          <w:rFonts w:hint="eastAsia"/>
        </w:rPr>
      </w:pPr>
    </w:p>
    <w:p w14:paraId="756B9A92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420" w:firstLineChars="200"/>
        <w:rPr>
          <w:rFonts w:hint="eastAsia"/>
        </w:rPr>
      </w:pPr>
    </w:p>
    <w:p w14:paraId="26595462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420" w:firstLineChars="200"/>
        <w:rPr>
          <w:rFonts w:hint="eastAsia"/>
        </w:rPr>
      </w:pPr>
    </w:p>
    <w:p w14:paraId="4C50972A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420" w:firstLineChars="200"/>
        <w:rPr>
          <w:rFonts w:hint="eastAsia"/>
        </w:rPr>
      </w:pPr>
    </w:p>
    <w:p w14:paraId="3548AAA3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420" w:firstLineChars="200"/>
        <w:rPr>
          <w:rFonts w:hint="eastAsia"/>
        </w:rPr>
      </w:pPr>
    </w:p>
    <w:p w14:paraId="77AF973C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420" w:firstLineChars="200"/>
        <w:rPr>
          <w:rFonts w:hint="eastAsia"/>
        </w:rPr>
      </w:pPr>
    </w:p>
    <w:p w14:paraId="2A3ABF29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420" w:firstLineChars="200"/>
        <w:rPr>
          <w:rFonts w:hint="eastAsia"/>
        </w:rPr>
      </w:pPr>
    </w:p>
    <w:p w14:paraId="5E9CF4DA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420" w:firstLineChars="200"/>
        <w:rPr>
          <w:rFonts w:hint="eastAsia"/>
        </w:rPr>
      </w:pPr>
    </w:p>
    <w:p w14:paraId="7894BC16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420" w:firstLineChars="200"/>
        <w:rPr>
          <w:rFonts w:hint="eastAsia"/>
        </w:rPr>
      </w:pPr>
    </w:p>
    <w:p w14:paraId="71558D76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420" w:firstLineChars="200"/>
        <w:rPr>
          <w:rFonts w:hint="eastAsia"/>
        </w:rPr>
      </w:pPr>
    </w:p>
    <w:p w14:paraId="02A81ECA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420" w:firstLineChars="200"/>
        <w:rPr>
          <w:rFonts w:hint="eastAsia"/>
        </w:rPr>
      </w:pPr>
      <w:r>
        <w:rPr>
          <w:rFonts w:hint="eastAsia"/>
        </w:rPr>
        <w:t>真正的实践不在于单向输入，而在于双向建构。同团队的2023级英语专业学生肖可可，以方案组与宣传组"双核心"身份，开创了"研究—传播"协同推进的实践范式。前期，她埋首于历史文献，将庞杂史料转化为清晰的调研路线图；实践中，她执笔撰写"行走的思政课"台本，让理论讲述充满现场感。作为宣传骨干，她产出的6篇实践通讯如《井冈精神映初心》《踏井冈热土铸青春铁律》等，以细腻笔触与鲜活影像在校级平台持续推送，总阅读量突破万人次；其牵头制作的短视频更将调研案例转化为青年喜闻乐见的视觉叙事。肖可可坦言："研究是实践的根系，传播是成果的翅膀，唯有二者共振，才能让红色文化飞入更多青年心海。"这种双重角色的沉浸，让她完成了从参与者到建构者的身份跃迁。</w:t>
      </w:r>
    </w:p>
    <w:p w14:paraId="460B0087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420" w:firstLineChars="200"/>
        <w:rPr>
          <w:rFonts w:hint="eastAsia"/>
        </w:rPr>
      </w:pPr>
    </w:p>
    <w:p w14:paraId="34CCBFF0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420" w:firstLineChars="200"/>
        <w:rPr>
          <w:rFonts w:hint="eastAsia"/>
        </w:rPr>
      </w:pPr>
    </w:p>
    <w:p w14:paraId="32E32D40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420" w:firstLineChars="200"/>
        <w:rPr>
          <w:rFonts w:hint="eastAsia"/>
        </w:rPr>
      </w:pPr>
    </w:p>
    <w:p w14:paraId="0E730CBB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420" w:firstLineChars="200"/>
        <w:rPr>
          <w:rFonts w:hint="eastAsia"/>
        </w:rPr>
      </w:pPr>
      <w:r>
        <w:rPr>
          <w:rFonts w:ascii="宋体" w:hAnsi="宋体" w:eastAsia="宋体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-295910</wp:posOffset>
            </wp:positionH>
            <wp:positionV relativeFrom="paragraph">
              <wp:posOffset>97155</wp:posOffset>
            </wp:positionV>
            <wp:extent cx="3046095" cy="2719705"/>
            <wp:effectExtent l="0" t="0" r="1905" b="4445"/>
            <wp:wrapNone/>
            <wp:docPr id="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6095" cy="27197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hAnsi="宋体" w:eastAsia="宋体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2804795</wp:posOffset>
            </wp:positionH>
            <wp:positionV relativeFrom="paragraph">
              <wp:posOffset>99695</wp:posOffset>
            </wp:positionV>
            <wp:extent cx="2915285" cy="2701925"/>
            <wp:effectExtent l="0" t="0" r="8890" b="3175"/>
            <wp:wrapNone/>
            <wp:docPr id="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/>
                  </pic:nvPicPr>
                  <pic:blipFill>
                    <a:blip r:embed="rId6"/>
                    <a:srcRect t="19659"/>
                    <a:stretch>
                      <a:fillRect/>
                    </a:stretch>
                  </pic:blipFill>
                  <pic:spPr>
                    <a:xfrm>
                      <a:off x="0" y="0"/>
                      <a:ext cx="2915285" cy="270192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anchor>
        </w:drawing>
      </w:r>
    </w:p>
    <w:p w14:paraId="653AAB34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420" w:firstLineChars="200"/>
        <w:rPr>
          <w:rFonts w:hint="eastAsia"/>
        </w:rPr>
      </w:pPr>
    </w:p>
    <w:p w14:paraId="74937AED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420" w:firstLineChars="200"/>
        <w:rPr>
          <w:rFonts w:hint="eastAsia"/>
        </w:rPr>
      </w:pPr>
    </w:p>
    <w:p w14:paraId="798A9B96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420" w:firstLineChars="200"/>
        <w:rPr>
          <w:rFonts w:hint="eastAsia"/>
        </w:rPr>
      </w:pPr>
    </w:p>
    <w:p w14:paraId="443DFF18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420" w:firstLineChars="200"/>
        <w:rPr>
          <w:rFonts w:hint="eastAsia"/>
        </w:rPr>
      </w:pPr>
    </w:p>
    <w:p w14:paraId="39F937C4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420" w:firstLineChars="200"/>
        <w:rPr>
          <w:rFonts w:hint="eastAsia"/>
        </w:rPr>
      </w:pPr>
    </w:p>
    <w:p w14:paraId="2B658617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420" w:firstLineChars="200"/>
        <w:rPr>
          <w:rFonts w:hint="eastAsia"/>
        </w:rPr>
      </w:pPr>
    </w:p>
    <w:p w14:paraId="43773102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420" w:firstLineChars="200"/>
        <w:rPr>
          <w:rFonts w:hint="eastAsia"/>
        </w:rPr>
      </w:pPr>
    </w:p>
    <w:p w14:paraId="052CBEAC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420" w:firstLineChars="200"/>
        <w:rPr>
          <w:rFonts w:hint="eastAsia"/>
        </w:rPr>
      </w:pPr>
    </w:p>
    <w:p w14:paraId="6F2A5CCA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420" w:firstLineChars="200"/>
        <w:rPr>
          <w:rFonts w:hint="eastAsia"/>
        </w:rPr>
      </w:pPr>
    </w:p>
    <w:p w14:paraId="6D1E7CDA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420" w:firstLineChars="200"/>
        <w:rPr>
          <w:rFonts w:hint="eastAsia"/>
        </w:rPr>
      </w:pPr>
    </w:p>
    <w:p w14:paraId="52BE2A7F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420" w:firstLineChars="200"/>
        <w:rPr>
          <w:rFonts w:hint="eastAsia"/>
        </w:rPr>
      </w:pPr>
    </w:p>
    <w:p w14:paraId="2808AD11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420" w:firstLineChars="200"/>
        <w:rPr>
          <w:rFonts w:hint="eastAsia"/>
        </w:rPr>
      </w:pPr>
    </w:p>
    <w:p w14:paraId="62D0B819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420" w:firstLineChars="200"/>
        <w:rPr>
          <w:rFonts w:hint="eastAsia"/>
        </w:rPr>
      </w:pPr>
    </w:p>
    <w:p w14:paraId="44CF8D16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rPr>
          <w:rFonts w:hint="eastAsia"/>
        </w:rPr>
      </w:pPr>
    </w:p>
    <w:p w14:paraId="3649C073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rPr>
          <w:rFonts w:hint="eastAsia"/>
        </w:rPr>
      </w:pPr>
    </w:p>
    <w:p w14:paraId="72C19162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420" w:firstLineChars="200"/>
        <w:rPr>
          <w:lang w:eastAsia="zh-CN"/>
          <w:rFonts w:hint="eastAsia" w:eastAsiaTheme="minorEastAsia"/>
        </w:rPr>
      </w:pPr>
      <w:r>
        <w:rPr>
          <w:rFonts w:hint="eastAsia"/>
        </w:rPr>
        <w:t>从倾听到表达，是思想升华的关键一跃。2023级日语专业学生任晓芸在研习团中主动请缨，承担起实践视频主讲人的重任。面对镜头，她不仅要将团队的调研见闻条理化，更需以青年视角对革命纪律精神进行现代表达。从雷打石的斑驳旧影到博物馆里的珍贵文物，她以清晰流畅的讲述串联起历史与当下，在一次次NG与重录中克服了公众表达的怯懦。在汇报组的协作中，她深度参与资料整理与内容提炼，为课题成果的逻辑成型提供了关键支撑。这场"沉浸式理想信念教育"让她深刻感悟到，井冈山精神不是尘封的概念，而是可以触摸的信仰温度，更是指引青年"扣好人生第一粒扣子"的行动坐标</w:t>
      </w:r>
      <w:r>
        <w:rPr>
          <w:lang w:eastAsia="zh-CN"/>
          <w:rFonts w:hint="eastAsia"/>
        </w:rPr>
        <w:t>。</w:t>
      </w:r>
    </w:p>
    <w:p w14:paraId="7D3D2E9C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420" w:firstLineChars="200"/>
        <w:rPr>
          <w:rFonts w:hint="eastAsia"/>
        </w:rPr>
      </w:pPr>
      <w:r>
        <w:rPr>
          <w:color w:val="000000"/>
          <w:sz w:val="21"/>
          <w:lang w:eastAsia="zh-CN"/>
          <w:kern w:val="0"/>
          <w:szCs w:val="28"/>
          <w:rFonts w:ascii="楷体_GB2312" w:hAnsi="宋体" w:eastAsia="楷体_GB2312" w:cs="宋体" w:hint="eastAsi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523240</wp:posOffset>
            </wp:positionH>
            <wp:positionV relativeFrom="paragraph">
              <wp:posOffset>189230</wp:posOffset>
            </wp:positionV>
            <wp:extent cx="4146550" cy="3736975"/>
            <wp:effectExtent l="0" t="0" r="6350" b="6350"/>
            <wp:wrapNone/>
            <wp:docPr id="4" name="图片 1" descr="IMG_20250903_2114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MG_20250903_21145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46550" cy="373697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anchor>
        </w:drawing>
      </w:r>
    </w:p>
    <w:p w14:paraId="12E4E38D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420" w:firstLineChars="200"/>
        <w:rPr>
          <w:rFonts w:hint="eastAsia"/>
        </w:rPr>
      </w:pPr>
    </w:p>
    <w:p w14:paraId="001B0745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420" w:firstLineChars="200"/>
        <w:rPr>
          <w:rFonts w:hint="eastAsia"/>
        </w:rPr>
      </w:pPr>
    </w:p>
    <w:p w14:paraId="3235F8EA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420" w:firstLineChars="200"/>
        <w:rPr>
          <w:rFonts w:hint="eastAsia"/>
        </w:rPr>
      </w:pPr>
    </w:p>
    <w:p w14:paraId="121645CB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420" w:firstLineChars="200"/>
        <w:rPr>
          <w:rFonts w:hint="eastAsia"/>
        </w:rPr>
      </w:pPr>
    </w:p>
    <w:p w14:paraId="5075B65E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420" w:firstLineChars="200"/>
        <w:rPr>
          <w:rFonts w:hint="eastAsia"/>
        </w:rPr>
      </w:pPr>
    </w:p>
    <w:p w14:paraId="6A64E67C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420" w:firstLineChars="200"/>
        <w:rPr>
          <w:rFonts w:hint="eastAsia"/>
        </w:rPr>
      </w:pPr>
    </w:p>
    <w:p w14:paraId="523A3B30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420" w:firstLineChars="200"/>
        <w:rPr>
          <w:rFonts w:hint="eastAsia"/>
        </w:rPr>
      </w:pPr>
    </w:p>
    <w:p w14:paraId="37493BD2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420" w:firstLineChars="200"/>
        <w:rPr>
          <w:rFonts w:hint="eastAsia"/>
        </w:rPr>
      </w:pPr>
    </w:p>
    <w:p w14:paraId="3A12A954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420" w:firstLineChars="200"/>
        <w:rPr>
          <w:rFonts w:hint="eastAsia"/>
        </w:rPr>
      </w:pPr>
    </w:p>
    <w:p w14:paraId="1C4274B9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420" w:firstLineChars="200"/>
        <w:rPr>
          <w:rFonts w:hint="eastAsia"/>
        </w:rPr>
      </w:pPr>
    </w:p>
    <w:p w14:paraId="73C0BBAF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420" w:firstLineChars="200"/>
        <w:rPr>
          <w:rFonts w:hint="eastAsia"/>
        </w:rPr>
      </w:pPr>
    </w:p>
    <w:p w14:paraId="1CFF6E9E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420" w:firstLineChars="200"/>
        <w:rPr>
          <w:rFonts w:hint="eastAsia"/>
        </w:rPr>
      </w:pPr>
    </w:p>
    <w:p w14:paraId="7907C06C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420" w:firstLineChars="200"/>
        <w:rPr>
          <w:rFonts w:hint="eastAsia"/>
        </w:rPr>
      </w:pPr>
    </w:p>
    <w:p w14:paraId="4C8BAF57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420" w:firstLineChars="200"/>
        <w:rPr>
          <w:rFonts w:hint="eastAsia"/>
        </w:rPr>
      </w:pPr>
    </w:p>
    <w:p w14:paraId="32E41CDD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420" w:firstLineChars="200"/>
        <w:rPr>
          <w:rFonts w:hint="eastAsia"/>
        </w:rPr>
      </w:pPr>
    </w:p>
    <w:p w14:paraId="3984080C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420" w:firstLineChars="200"/>
        <w:rPr>
          <w:rFonts w:hint="eastAsia"/>
        </w:rPr>
      </w:pPr>
    </w:p>
    <w:p w14:paraId="59EF59AA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rPr>
          <w:rFonts w:hint="eastAsia"/>
        </w:rPr>
      </w:pPr>
    </w:p>
    <w:p w14:paraId="349947C9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rPr>
          <w:rFonts w:hint="eastAsia"/>
        </w:rPr>
      </w:pPr>
    </w:p>
    <w:p w14:paraId="307FC8E2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rPr>
          <w:rFonts w:hint="eastAsia"/>
        </w:rPr>
      </w:pPr>
    </w:p>
    <w:p w14:paraId="56F6C8BD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rPr>
          <w:rFonts w:hint="eastAsia"/>
        </w:rPr>
      </w:pPr>
    </w:p>
    <w:p w14:paraId="1A39ADC1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420" w:firstLineChars="200"/>
        <w:rPr>
          <w:lang w:eastAsia="zh-CN"/>
          <w:rFonts w:hint="eastAsia"/>
        </w:rPr>
      </w:pPr>
      <w:r>
        <w:rPr>
          <w:rFonts w:hint="eastAsia"/>
        </w:rPr>
        <w:t>基层是最好的课堂，群众是最好的老师。2024级商务英语专业学生姚梓星放弃假期舒适区，在家乡红安县残疾人联合会坚守实习岗位一个月。面对陌生的助残政策与复杂的服务需求，她摒弃旁观者心态，以"空杯"姿态主动学习业务流程。从接听咨询热线时的耐心倾听，到接待来访残疾人时的真诚交流，她逐渐领悟到"人道、廉洁、服务、奉献"八字背后沉甸甸的分量。一次，为帮助一位视障老人补办证件，她反复沟通、多方协调，当老人紧握她的手连声道谢时，她突然理解了"被需要"的价值。这段经历不仅锤炼了她的跨文化沟通能力，更重塑了她的价值观——真正的专业本领，应服务于最柔软的社会需求。她的踏实表现赢得了残联领导"有担当、有温度"的高度评价</w:t>
      </w:r>
      <w:r>
        <w:rPr>
          <w:lang w:eastAsia="zh-CN"/>
          <w:rFonts w:hint="eastAsia"/>
        </w:rPr>
        <w:t>。</w:t>
      </w:r>
    </w:p>
    <w:p w14:paraId="3EE35508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420" w:firstLineChars="200"/>
        <w:rPr>
          <w:lang w:eastAsia="zh-CN"/>
          <w:rFonts w:hint="eastAsia"/>
        </w:rPr>
      </w:pPr>
      <w:r>
        <w:rPr>
          <w:color w:val="000000"/>
          <w:sz w:val="21"/>
          <w:kern w:val="0"/>
          <w:szCs w:val="28"/>
          <w:rFonts w:ascii="楷体_GB2312" w:hAnsi="宋体" w:eastAsia="楷体_GB2312" w:cs="宋体" w:hint="eastAsia"/>
        </w:rPr>
        <w:drawing>
          <wp:anchor distT="0" distB="0" distL="0" distR="0" simplePos="0" relativeHeight="251663360" behindDoc="0" locked="0" layoutInCell="1" allowOverlap="1">
            <wp:simplePos x="0" y="0"/>
            <wp:positionH relativeFrom="column">
              <wp:posOffset>95250</wp:posOffset>
            </wp:positionH>
            <wp:positionV relativeFrom="paragraph">
              <wp:posOffset>40640</wp:posOffset>
            </wp:positionV>
            <wp:extent cx="2481580" cy="2940685"/>
            <wp:effectExtent l="0" t="0" r="4445" b="2540"/>
            <wp:wrapNone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1123749" name="图片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81580" cy="294068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anchor>
        </w:drawing>
      </w:r>
      <w:r>
        <w:rPr>
          <w:color w:val="000000"/>
          <w:sz w:val="21"/>
          <w:kern w:val="0"/>
          <w:szCs w:val="28"/>
          <w:rFonts w:ascii="楷体_GB2312" w:hAnsi="宋体" w:eastAsia="楷体_GB2312" w:cs="宋体" w:hint="eastAsia"/>
        </w:rPr>
        <w:drawing>
          <wp:anchor distT="0" distB="0" distL="0" distR="0" simplePos="0" relativeHeight="251664384" behindDoc="0" locked="0" layoutInCell="1" allowOverlap="1">
            <wp:simplePos x="0" y="0"/>
            <wp:positionH relativeFrom="column">
              <wp:posOffset>2818130</wp:posOffset>
            </wp:positionH>
            <wp:positionV relativeFrom="paragraph">
              <wp:posOffset>43180</wp:posOffset>
            </wp:positionV>
            <wp:extent cx="2430145" cy="2943225"/>
            <wp:effectExtent l="0" t="0" r="8255" b="0"/>
            <wp:wrapNone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4504551" name="图片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30145" cy="294322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anchor>
        </w:drawing>
      </w:r>
    </w:p>
    <w:p w14:paraId="221D6862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420" w:firstLineChars="200"/>
        <w:rPr>
          <w:lang w:eastAsia="zh-CN"/>
          <w:rFonts w:hint="eastAsia"/>
        </w:rPr>
      </w:pPr>
    </w:p>
    <w:p w14:paraId="19DA1405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420" w:firstLineChars="200"/>
        <w:rPr>
          <w:lang w:eastAsia="zh-CN"/>
          <w:rFonts w:hint="eastAsia"/>
        </w:rPr>
      </w:pPr>
    </w:p>
    <w:p w14:paraId="317DC186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420" w:firstLineChars="200"/>
        <w:rPr>
          <w:lang w:eastAsia="zh-CN"/>
          <w:rFonts w:hint="eastAsia"/>
        </w:rPr>
      </w:pPr>
    </w:p>
    <w:p w14:paraId="19A2C25B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420" w:firstLineChars="200"/>
        <w:rPr>
          <w:lang w:eastAsia="zh-CN"/>
          <w:rFonts w:hint="eastAsia"/>
        </w:rPr>
      </w:pPr>
    </w:p>
    <w:p w14:paraId="48FE92E4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420" w:firstLineChars="200"/>
        <w:rPr>
          <w:lang w:eastAsia="zh-CN"/>
          <w:rFonts w:hint="eastAsia"/>
        </w:rPr>
      </w:pPr>
    </w:p>
    <w:p w14:paraId="14B7F9CA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420" w:firstLineChars="200"/>
        <w:rPr>
          <w:lang w:eastAsia="zh-CN"/>
          <w:rFonts w:hint="eastAsia"/>
        </w:rPr>
      </w:pPr>
    </w:p>
    <w:p w14:paraId="3A652CE7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420" w:firstLineChars="200"/>
        <w:rPr>
          <w:lang w:eastAsia="zh-CN"/>
          <w:rFonts w:hint="eastAsia"/>
        </w:rPr>
      </w:pPr>
    </w:p>
    <w:p w14:paraId="0AF0C789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420" w:firstLineChars="200"/>
        <w:rPr>
          <w:lang w:eastAsia="zh-CN"/>
          <w:rFonts w:hint="eastAsia"/>
        </w:rPr>
      </w:pPr>
    </w:p>
    <w:p w14:paraId="766BD836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420" w:firstLineChars="200"/>
        <w:rPr>
          <w:lang w:eastAsia="zh-CN"/>
          <w:rFonts w:hint="eastAsia"/>
        </w:rPr>
      </w:pPr>
    </w:p>
    <w:p w14:paraId="67198A75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420" w:firstLineChars="200"/>
        <w:rPr>
          <w:lang w:eastAsia="zh-CN"/>
          <w:rFonts w:hint="eastAsia"/>
        </w:rPr>
      </w:pPr>
    </w:p>
    <w:p w14:paraId="4337210D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420" w:firstLineChars="200"/>
        <w:rPr>
          <w:lang w:eastAsia="zh-CN"/>
          <w:rFonts w:hint="eastAsia"/>
        </w:rPr>
      </w:pPr>
    </w:p>
    <w:p w14:paraId="4439F2AC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420" w:firstLineChars="200"/>
        <w:rPr>
          <w:lang w:eastAsia="zh-CN"/>
          <w:rFonts w:hint="eastAsia"/>
        </w:rPr>
      </w:pPr>
    </w:p>
    <w:p w14:paraId="6E21336C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420" w:firstLineChars="200"/>
        <w:rPr>
          <w:lang w:eastAsia="zh-CN"/>
          <w:rFonts w:hint="eastAsia"/>
        </w:rPr>
      </w:pPr>
    </w:p>
    <w:p w14:paraId="2754D134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rPr>
          <w:lang w:eastAsia="zh-CN"/>
          <w:rFonts w:hint="eastAsia"/>
        </w:rPr>
      </w:pPr>
    </w:p>
    <w:p w14:paraId="70AF03DA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rPr>
          <w:lang w:eastAsia="zh-CN"/>
          <w:rFonts w:hint="eastAsia"/>
        </w:rPr>
      </w:pPr>
    </w:p>
    <w:p w14:paraId="3194DCCD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rPr>
          <w:rFonts w:hint="eastAsia"/>
        </w:rPr>
      </w:pPr>
    </w:p>
    <w:p w14:paraId="3C2A0FAD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420" w:firstLineChars="200"/>
        <w:rPr>
          <w:rFonts w:hint="eastAsia"/>
        </w:rPr>
      </w:pPr>
      <w:r>
        <w:rPr>
          <w:rFonts w:hint="eastAsia"/>
        </w:rPr>
        <w:t>教育的意义，在于点燃而非灌输。2024级英语专业学生陈潇在返乡实践中，于家乡村委会体验了两天高密度村务工作，从数据整理中窥见基层治理的精细逻辑。更触动她的是，当承担英语辅导任务时，本以为自己能游刃有余，却在讲解虚拟语气等语法难点时"卡了壳"。学生迷茫的眼神如镜子般照出她知识体系"碎片化"的短板——能做题，却说不清原理。这次"挫败"成为她专业认知的转折点：她意识到英语教育不只是语言技巧传授，更是系统性思维建构。联想到乡村文旅发展对外宣人才的渴求，她豁然开朗："英专生可以成为家乡的'翻译官'，把乡土故事讲给世界听。"短短两天，她从"教学失误"中锚定了未来方向——要做一名能"讲透知识、更讲活文化"的好老师。</w:t>
      </w:r>
    </w:p>
    <w:p w14:paraId="4BF62EB4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420" w:firstLineChars="200"/>
        <w:rPr>
          <w:rFonts w:hint="eastAsia"/>
        </w:rPr>
      </w:pPr>
      <w:r>
        <w:rPr>
          <w:lang w:val="en-US" w:eastAsia="zh-CN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page">
              <wp:posOffset>1109980</wp:posOffset>
            </wp:positionH>
            <wp:positionV relativeFrom="page">
              <wp:posOffset>7691757</wp:posOffset>
            </wp:positionV>
            <wp:extent cx="5266690" cy="2092975"/>
            <wp:effectExtent l="0" t="0" r="635" b="6350"/>
            <wp:wrapNone/>
            <wp:docPr id="7" name="图片 6" descr="IMG_20250905_2105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 descr="IMG_20250905_210530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09297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anchor>
        </w:drawing>
      </w:r>
    </w:p>
    <w:p w14:paraId="7B556604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420" w:firstLineChars="200"/>
        <w:rPr>
          <w:rFonts w:hint="eastAsia"/>
        </w:rPr>
      </w:pPr>
    </w:p>
    <w:p w14:paraId="01559B09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420" w:firstLineChars="200"/>
        <w:rPr>
          <w:rFonts w:hint="eastAsia"/>
        </w:rPr>
      </w:pPr>
    </w:p>
    <w:p w14:paraId="2F0ACF3C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420" w:firstLineChars="200"/>
        <w:rPr>
          <w:rFonts w:hint="eastAsia"/>
        </w:rPr>
      </w:pPr>
    </w:p>
    <w:p w14:paraId="3B2A5C06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420" w:firstLineChars="200"/>
        <w:rPr>
          <w:rFonts w:hint="eastAsia"/>
        </w:rPr>
      </w:pPr>
    </w:p>
    <w:p w14:paraId="5EFF35E6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420" w:firstLineChars="200"/>
        <w:rPr>
          <w:rFonts w:hint="eastAsia"/>
        </w:rPr>
      </w:pPr>
    </w:p>
    <w:p w14:paraId="2C4D7F26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420" w:firstLineChars="200"/>
        <w:rPr>
          <w:rFonts w:hint="eastAsia"/>
        </w:rPr>
      </w:pPr>
    </w:p>
    <w:p w14:paraId="670E36D8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420" w:firstLineChars="200"/>
        <w:rPr>
          <w:rFonts w:hint="eastAsia"/>
        </w:rPr>
      </w:pPr>
    </w:p>
    <w:p w14:paraId="7F1DA4BB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420" w:firstLineChars="200"/>
        <w:rPr>
          <w:rFonts w:hint="eastAsia"/>
        </w:rPr>
      </w:pPr>
    </w:p>
    <w:p w14:paraId="0B9AE6A2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420" w:firstLineChars="200"/>
        <w:rPr>
          <w:rFonts w:hint="eastAsia"/>
        </w:rPr>
      </w:pPr>
    </w:p>
    <w:p w14:paraId="13DC1E21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420" w:firstLineChars="200"/>
        <w:rPr>
          <w:rFonts w:hint="eastAsia"/>
        </w:rPr>
      </w:pPr>
      <w:r>
        <w:rPr>
          <w:rFonts w:hint="eastAsia"/>
        </w:rPr>
        <w:t>从井冈山巅到社区一线，从残联窗口到乡村讲台，外语学部学子以多元实践回答着"青年</w:t>
      </w:r>
    </w:p>
    <w:p w14:paraId="520EF3F9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/>
        <w:rPr>
          <w:rFonts w:hint="eastAsia"/>
        </w:rPr>
      </w:pPr>
      <w:r>
        <w:rPr>
          <w:rFonts w:hint="eastAsia"/>
        </w:rPr>
        <w:t>何为"的时代问卷。外语学部负责人表示，学部将持续优化"精准对接、深度参与、反思升华"的实践育人链条，让更多青年在社会大熔炉中淬炼成钢，将"小我"成长融入"大我"征程，为民族复兴伟业贡献青春力量。</w:t>
      </w:r>
    </w:p>
    <w:p w14:paraId="5895C2CC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420" w:firstLineChars="200"/>
        <w:rPr>
          <w:rFonts w:hint="eastAsia"/>
        </w:rPr>
      </w:pPr>
    </w:p>
    <w:p w14:paraId="342DF7F4">
      <w:pPr>
        <w:ind w:firstLine="6930" w:firstLineChars="3300"/>
        <w:rPr>
          <w:lang w:val="en-US" w:eastAsia="zh-CN"/>
          <w:rFonts w:hint="default" w:eastAsiaTheme="minorEastAsia"/>
        </w:rPr>
      </w:pPr>
      <w:bookmarkStart w:id="0" w:name="_GoBack"/>
      <w:bookmarkEnd w:id="0"/>
      <w:r>
        <w:rPr>
          <w:lang w:val="en-US" w:eastAsia="zh-CN"/>
          <w:rFonts w:hint="eastAsia"/>
        </w:rPr>
        <w:t>撰稿人：吴斯唯</w:t>
      </w:r>
    </w:p>
    <w:sectPr>
      <w:footerReference r:id="rId11" w:type="default"/>
      <w:docGrid w:type="lines" w:linePitch="312" w:charSpace="0"/>
      <w:pgSz w:w="11906" w:h="16838"/>
      <w:pgMar w:top="1440" w:right="1800" w:bottom="1440" w:left="1800" w:header="851" w:footer="992" w:gutter="0"/>
      <w:cols w:space="425" w:num="1"/>
    </w:sectPr>
  </w:body>
</w:document>
</file>